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8" w:rsidRDefault="00F97B92">
      <w:pPr>
        <w:rPr>
          <w:b/>
          <w:bCs/>
        </w:rPr>
      </w:pPr>
      <w:r>
        <w:rPr>
          <w:b/>
          <w:bCs/>
        </w:rPr>
        <w:t>РЕПУБЛИКА СРБИЈА</w:t>
      </w:r>
      <w:r>
        <w:rPr>
          <w:b/>
          <w:bCs/>
        </w:rPr>
        <w:tab/>
      </w:r>
    </w:p>
    <w:p w:rsidR="005F1498" w:rsidRDefault="00F97B92">
      <w:pPr>
        <w:rPr>
          <w:b/>
          <w:bCs/>
        </w:rPr>
      </w:pPr>
      <w:r>
        <w:rPr>
          <w:b/>
          <w:bCs/>
        </w:rPr>
        <w:t>Општина Неготин</w:t>
      </w:r>
    </w:p>
    <w:p w:rsidR="005F1498" w:rsidRDefault="00F97B92">
      <w:pPr>
        <w:rPr>
          <w:b/>
          <w:bCs/>
        </w:rPr>
      </w:pPr>
      <w:r>
        <w:rPr>
          <w:b/>
          <w:bCs/>
        </w:rPr>
        <w:t>Општинска управа</w:t>
      </w:r>
    </w:p>
    <w:p w:rsidR="005F1498" w:rsidRDefault="00F97B92">
      <w:r>
        <w:t>Одељење за инспекцијске послове</w:t>
      </w:r>
    </w:p>
    <w:p w:rsidR="005F1498" w:rsidRDefault="00F97B92">
      <w:r>
        <w:t>Трг Стевана Мокрањца 1, 19300 Неготин</w:t>
      </w:r>
    </w:p>
    <w:p w:rsidR="005F1498" w:rsidRDefault="00AE5EB8">
      <w:r>
        <w:t>Бр. 501-147</w:t>
      </w:r>
      <w:r w:rsidR="004D056E">
        <w:t xml:space="preserve"> /2024</w:t>
      </w:r>
      <w:r w:rsidR="00F97B92">
        <w:t>-IV/03</w:t>
      </w:r>
    </w:p>
    <w:p w:rsidR="005F1498" w:rsidRDefault="004D056E">
      <w:r>
        <w:t>12.11.2024</w:t>
      </w:r>
      <w:r w:rsidR="00F97B92">
        <w:t>. године</w:t>
      </w:r>
    </w:p>
    <w:p w:rsidR="005F1498" w:rsidRDefault="005F1498"/>
    <w:p w:rsidR="005F1498" w:rsidRDefault="005F1498"/>
    <w:p w:rsidR="005F1498" w:rsidRDefault="005F1498">
      <w:pPr>
        <w:jc w:val="center"/>
        <w:rPr>
          <w:b/>
          <w:bCs/>
        </w:rPr>
      </w:pPr>
    </w:p>
    <w:p w:rsidR="005F1498" w:rsidRDefault="00F97B92">
      <w:pPr>
        <w:jc w:val="center"/>
      </w:pPr>
      <w:r>
        <w:rPr>
          <w:b/>
          <w:bCs/>
        </w:rPr>
        <w:t>Предмет:</w:t>
      </w:r>
      <w:r>
        <w:t xml:space="preserve"> Годишњи план инспекцијског надзора инспектора </w:t>
      </w:r>
      <w:proofErr w:type="spellStart"/>
      <w:r>
        <w:t>за</w:t>
      </w:r>
      <w:proofErr w:type="spellEnd"/>
      <w:r>
        <w:t xml:space="preserve"> </w:t>
      </w:r>
      <w:proofErr w:type="spellStart"/>
      <w:r>
        <w:t>заштиту</w:t>
      </w:r>
      <w:proofErr w:type="spellEnd"/>
      <w:r>
        <w:t xml:space="preserve"> </w:t>
      </w:r>
      <w:proofErr w:type="spellStart"/>
      <w:r>
        <w:t>животне</w:t>
      </w:r>
      <w:proofErr w:type="spellEnd"/>
      <w:r>
        <w:t xml:space="preserve"> </w:t>
      </w:r>
      <w:proofErr w:type="spellStart"/>
      <w:r>
        <w:t>средине</w:t>
      </w:r>
      <w:proofErr w:type="spellEnd"/>
      <w:r>
        <w:t xml:space="preserve"> </w:t>
      </w:r>
      <w:proofErr w:type="spellStart"/>
      <w:r>
        <w:t>Општинск</w:t>
      </w:r>
      <w:r w:rsidR="004D056E">
        <w:t>е</w:t>
      </w:r>
      <w:proofErr w:type="spellEnd"/>
      <w:r w:rsidR="004D056E">
        <w:t xml:space="preserve"> </w:t>
      </w:r>
      <w:proofErr w:type="spellStart"/>
      <w:r w:rsidR="004D056E">
        <w:t>управе</w:t>
      </w:r>
      <w:proofErr w:type="spellEnd"/>
      <w:r w:rsidR="004D056E">
        <w:t xml:space="preserve"> </w:t>
      </w:r>
      <w:proofErr w:type="spellStart"/>
      <w:r w:rsidR="004D056E">
        <w:t>општине</w:t>
      </w:r>
      <w:proofErr w:type="spellEnd"/>
      <w:r w:rsidR="004D056E">
        <w:t xml:space="preserve"> </w:t>
      </w:r>
      <w:proofErr w:type="spellStart"/>
      <w:r w:rsidR="004D056E">
        <w:t>Неготин</w:t>
      </w:r>
      <w:proofErr w:type="spellEnd"/>
      <w:r w:rsidR="004D056E">
        <w:t xml:space="preserve"> </w:t>
      </w:r>
      <w:proofErr w:type="spellStart"/>
      <w:r w:rsidR="004D056E">
        <w:t>за</w:t>
      </w:r>
      <w:proofErr w:type="spellEnd"/>
      <w:r w:rsidR="004D056E">
        <w:t xml:space="preserve"> 2025</w:t>
      </w:r>
      <w:r>
        <w:t>. годину</w:t>
      </w:r>
    </w:p>
    <w:p w:rsidR="005F1498" w:rsidRDefault="005F1498">
      <w:pPr>
        <w:jc w:val="center"/>
      </w:pPr>
    </w:p>
    <w:p w:rsidR="005F1498" w:rsidRDefault="00F97B92">
      <w:pPr>
        <w:jc w:val="both"/>
      </w:pPr>
      <w:r>
        <w:t xml:space="preserve">                  У Одељењу за инспекцијске послове Општинске управе општине Неготин на радном месту инспектор за заштиту животне средине запослен је један извршиоц, име и презиме инспектора је Драган Радовановић, дипл.инж.зжс, број легитимације 13/2018. </w:t>
      </w:r>
    </w:p>
    <w:p w:rsidR="005F1498" w:rsidRDefault="005F1498">
      <w:pPr>
        <w:jc w:val="both"/>
      </w:pPr>
    </w:p>
    <w:p w:rsidR="005F1498" w:rsidRDefault="00F97B92">
      <w:pPr>
        <w:jc w:val="center"/>
        <w:rPr>
          <w:rFonts w:eastAsia="Times New Roman"/>
          <w:b/>
          <w:bCs/>
        </w:rPr>
      </w:pPr>
      <w:r>
        <w:rPr>
          <w:rFonts w:eastAsia="Times New Roman"/>
          <w:b/>
          <w:bCs/>
        </w:rPr>
        <w:t>Прописи по којима поступа :</w:t>
      </w:r>
    </w:p>
    <w:p w:rsidR="005F1498" w:rsidRDefault="005F1498">
      <w:pPr>
        <w:jc w:val="both"/>
        <w:rPr>
          <w:rFonts w:eastAsia="Times New Roman"/>
          <w:b/>
          <w:bCs/>
        </w:rPr>
      </w:pPr>
    </w:p>
    <w:p w:rsidR="005F1498" w:rsidRDefault="00F97B92">
      <w:pPr>
        <w:autoSpaceDE w:val="0"/>
        <w:jc w:val="center"/>
        <w:rPr>
          <w:rFonts w:eastAsia="Times New Roman"/>
          <w:b/>
          <w:bCs/>
        </w:rPr>
      </w:pPr>
      <w:r>
        <w:rPr>
          <w:rFonts w:eastAsia="Times New Roman"/>
          <w:b/>
          <w:bCs/>
        </w:rPr>
        <w:t>ЗАКОНИ:</w:t>
      </w:r>
    </w:p>
    <w:p w:rsidR="005F1498" w:rsidRDefault="005F1498">
      <w:pPr>
        <w:autoSpaceDE w:val="0"/>
        <w:jc w:val="both"/>
        <w:rPr>
          <w:rFonts w:eastAsia="Times New Roman"/>
          <w:b/>
          <w:bCs/>
        </w:rPr>
      </w:pPr>
    </w:p>
    <w:p w:rsidR="005F1498" w:rsidRDefault="00F97B92">
      <w:pPr>
        <w:autoSpaceDE w:val="0"/>
        <w:jc w:val="both"/>
        <w:rPr>
          <w:rFonts w:eastAsia="Times New Roman"/>
        </w:rPr>
      </w:pPr>
      <w:r>
        <w:rPr>
          <w:rFonts w:eastAsia="Times New Roman"/>
        </w:rPr>
        <w:t>- Закон о</w:t>
      </w:r>
      <w:r w:rsidR="00435DF7">
        <w:rPr>
          <w:rFonts w:eastAsia="Times New Roman"/>
        </w:rPr>
        <w:t xml:space="preserve"> заштити животне средине ("Сл. </w:t>
      </w:r>
      <w:r w:rsidR="00435DF7">
        <w:rPr>
          <w:rFonts w:eastAsia="Times New Roman"/>
          <w:lang/>
        </w:rPr>
        <w:t>г</w:t>
      </w:r>
      <w:proofErr w:type="spellStart"/>
      <w:r>
        <w:rPr>
          <w:rFonts w:eastAsia="Times New Roman"/>
        </w:rPr>
        <w:t>ласник</w:t>
      </w:r>
      <w:proofErr w:type="spellEnd"/>
      <w:r>
        <w:rPr>
          <w:rFonts w:eastAsia="Times New Roman"/>
        </w:rPr>
        <w:t xml:space="preserve"> РС", </w:t>
      </w:r>
      <w:proofErr w:type="spellStart"/>
      <w:r>
        <w:rPr>
          <w:rFonts w:eastAsia="Times New Roman"/>
        </w:rPr>
        <w:t>број</w:t>
      </w:r>
      <w:proofErr w:type="spellEnd"/>
      <w:r>
        <w:rPr>
          <w:rFonts w:eastAsia="Times New Roman"/>
        </w:rPr>
        <w:t xml:space="preserve"> 135/2004, 36/2009, 36/2009 – др.закон</w:t>
      </w:r>
      <w:proofErr w:type="gramStart"/>
      <w:r>
        <w:rPr>
          <w:rFonts w:eastAsia="Times New Roman"/>
        </w:rPr>
        <w:t>,72</w:t>
      </w:r>
      <w:proofErr w:type="gramEnd"/>
      <w:r>
        <w:rPr>
          <w:rFonts w:eastAsia="Times New Roman"/>
        </w:rPr>
        <w:t>/200</w:t>
      </w:r>
      <w:r w:rsidR="00435DF7">
        <w:rPr>
          <w:rFonts w:eastAsia="Times New Roman"/>
        </w:rPr>
        <w:t xml:space="preserve">9 - </w:t>
      </w:r>
      <w:proofErr w:type="spellStart"/>
      <w:r w:rsidR="00435DF7">
        <w:rPr>
          <w:rFonts w:eastAsia="Times New Roman"/>
        </w:rPr>
        <w:t>др.закон</w:t>
      </w:r>
      <w:proofErr w:type="spellEnd"/>
      <w:r w:rsidR="00435DF7">
        <w:rPr>
          <w:rFonts w:eastAsia="Times New Roman"/>
        </w:rPr>
        <w:t xml:space="preserve">, 43/2011 – </w:t>
      </w:r>
      <w:proofErr w:type="spellStart"/>
      <w:r w:rsidR="00435DF7">
        <w:rPr>
          <w:rFonts w:eastAsia="Times New Roman"/>
        </w:rPr>
        <w:t>одлука</w:t>
      </w:r>
      <w:proofErr w:type="spellEnd"/>
      <w:r w:rsidR="00435DF7">
        <w:rPr>
          <w:rFonts w:eastAsia="Times New Roman"/>
        </w:rPr>
        <w:t xml:space="preserve"> </w:t>
      </w:r>
      <w:r w:rsidR="00435DF7">
        <w:rPr>
          <w:rFonts w:eastAsia="Times New Roman"/>
          <w:lang/>
        </w:rPr>
        <w:t>У</w:t>
      </w:r>
      <w:r w:rsidR="00435DF7">
        <w:rPr>
          <w:rFonts w:eastAsia="Times New Roman"/>
        </w:rPr>
        <w:t>С</w:t>
      </w:r>
      <w:r w:rsidR="00435DF7">
        <w:rPr>
          <w:rFonts w:eastAsia="Times New Roman"/>
          <w:lang/>
        </w:rPr>
        <w:t xml:space="preserve">, </w:t>
      </w:r>
      <w:r>
        <w:rPr>
          <w:rFonts w:eastAsia="Times New Roman"/>
        </w:rPr>
        <w:t>14/2016</w:t>
      </w:r>
      <w:r w:rsidR="00435DF7">
        <w:rPr>
          <w:rFonts w:eastAsia="Times New Roman"/>
          <w:lang/>
        </w:rPr>
        <w:t>, 76/2018, 95/2018-др.закон и 95/2018-др.закон</w:t>
      </w:r>
      <w:r>
        <w:rPr>
          <w:rFonts w:eastAsia="Times New Roman"/>
        </w:rPr>
        <w:t>)</w:t>
      </w:r>
    </w:p>
    <w:p w:rsidR="005F1498" w:rsidRDefault="00F97B92">
      <w:pPr>
        <w:autoSpaceDE w:val="0"/>
        <w:jc w:val="both"/>
        <w:rPr>
          <w:rFonts w:eastAsia="Times New Roman"/>
        </w:rPr>
      </w:pPr>
      <w:r>
        <w:rPr>
          <w:rFonts w:eastAsia="Times New Roman"/>
        </w:rPr>
        <w:t>Правилник о методологији за израду националног и локалног регисртра извора загађивања, као и методологији за врсте, начине и рокове прикупљања подат</w:t>
      </w:r>
      <w:r w:rsidR="00435DF7">
        <w:rPr>
          <w:rFonts w:eastAsia="Times New Roman"/>
        </w:rPr>
        <w:t xml:space="preserve">ака ("Сл. </w:t>
      </w:r>
      <w:r w:rsidR="00435DF7">
        <w:rPr>
          <w:rFonts w:eastAsia="Times New Roman"/>
          <w:lang/>
        </w:rPr>
        <w:t>г</w:t>
      </w:r>
      <w:proofErr w:type="spellStart"/>
      <w:r w:rsidR="00435DF7">
        <w:rPr>
          <w:rFonts w:eastAsia="Times New Roman"/>
        </w:rPr>
        <w:t>ласник</w:t>
      </w:r>
      <w:proofErr w:type="spellEnd"/>
      <w:r w:rsidR="00435DF7">
        <w:rPr>
          <w:rFonts w:eastAsia="Times New Roman"/>
        </w:rPr>
        <w:t xml:space="preserve"> РС", 91/2010</w:t>
      </w:r>
      <w:r w:rsidR="00435DF7">
        <w:rPr>
          <w:rFonts w:eastAsia="Times New Roman"/>
          <w:lang/>
        </w:rPr>
        <w:t>,</w:t>
      </w:r>
      <w:r>
        <w:rPr>
          <w:rFonts w:eastAsia="Times New Roman"/>
        </w:rPr>
        <w:t xml:space="preserve"> 10/2013</w:t>
      </w:r>
      <w:r w:rsidR="00435DF7">
        <w:rPr>
          <w:rFonts w:eastAsia="Times New Roman"/>
          <w:lang/>
        </w:rPr>
        <w:t>, 98/2016, 72/2023 и 53/2024</w:t>
      </w:r>
      <w:r>
        <w:rPr>
          <w:rFonts w:eastAsia="Times New Roman"/>
        </w:rPr>
        <w:t>)</w:t>
      </w:r>
    </w:p>
    <w:p w:rsidR="005F1498" w:rsidRDefault="00F97B92">
      <w:pPr>
        <w:autoSpaceDE w:val="0"/>
        <w:jc w:val="both"/>
        <w:rPr>
          <w:rFonts w:eastAsia="Times New Roman"/>
        </w:rPr>
      </w:pPr>
      <w:r>
        <w:rPr>
          <w:rFonts w:eastAsia="Times New Roman"/>
        </w:rPr>
        <w:t>- Закон о процени ут</w:t>
      </w:r>
      <w:r w:rsidR="00435DF7">
        <w:rPr>
          <w:rFonts w:eastAsia="Times New Roman"/>
        </w:rPr>
        <w:t xml:space="preserve">ицаја на животну средину ("Сл. </w:t>
      </w:r>
      <w:r w:rsidR="00435DF7">
        <w:rPr>
          <w:rFonts w:eastAsia="Times New Roman"/>
          <w:lang/>
        </w:rPr>
        <w:t>г</w:t>
      </w:r>
      <w:proofErr w:type="spellStart"/>
      <w:r>
        <w:rPr>
          <w:rFonts w:eastAsia="Times New Roman"/>
        </w:rPr>
        <w:t>ласник</w:t>
      </w:r>
      <w:proofErr w:type="spellEnd"/>
      <w:r>
        <w:rPr>
          <w:rFonts w:eastAsia="Times New Roman"/>
        </w:rPr>
        <w:t xml:space="preserve"> РС", </w:t>
      </w:r>
      <w:proofErr w:type="spellStart"/>
      <w:r>
        <w:rPr>
          <w:rFonts w:eastAsia="Times New Roman"/>
        </w:rPr>
        <w:t>број</w:t>
      </w:r>
      <w:proofErr w:type="spellEnd"/>
      <w:r>
        <w:rPr>
          <w:rFonts w:eastAsia="Times New Roman"/>
        </w:rPr>
        <w:t xml:space="preserve"> 135/2004 и 36/2009)</w:t>
      </w:r>
    </w:p>
    <w:p w:rsidR="005F1498" w:rsidRDefault="00F97B92">
      <w:pPr>
        <w:autoSpaceDE w:val="0"/>
        <w:jc w:val="both"/>
        <w:rPr>
          <w:rFonts w:eastAsia="Times New Roman"/>
        </w:rPr>
      </w:pPr>
      <w:r>
        <w:rPr>
          <w:rFonts w:eastAsia="Times New Roman"/>
        </w:rPr>
        <w:t>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бр.69/2005)</w:t>
      </w:r>
    </w:p>
    <w:p w:rsidR="005F1498" w:rsidRDefault="00F97B92">
      <w:pPr>
        <w:autoSpaceDE w:val="0"/>
        <w:jc w:val="both"/>
        <w:rPr>
          <w:rFonts w:eastAsia="Times New Roman"/>
        </w:rPr>
      </w:pPr>
      <w:r>
        <w:rPr>
          <w:rFonts w:eastAsia="Times New Roman"/>
        </w:rPr>
        <w:t>Уредба о утврђивању листе пројеката за које је обавезна процена утицаја и листе пројеката за које се може захтевати процена ут</w:t>
      </w:r>
      <w:r w:rsidR="00435DF7">
        <w:rPr>
          <w:rFonts w:eastAsia="Times New Roman"/>
        </w:rPr>
        <w:t xml:space="preserve">ицаја на животну средину ("Сл. </w:t>
      </w:r>
      <w:r w:rsidR="00435DF7">
        <w:rPr>
          <w:rFonts w:eastAsia="Times New Roman"/>
          <w:lang/>
        </w:rPr>
        <w:t>г</w:t>
      </w:r>
      <w:proofErr w:type="spellStart"/>
      <w:r>
        <w:rPr>
          <w:rFonts w:eastAsia="Times New Roman"/>
        </w:rPr>
        <w:t>ласник</w:t>
      </w:r>
      <w:proofErr w:type="spellEnd"/>
      <w:r>
        <w:rPr>
          <w:rFonts w:eastAsia="Times New Roman"/>
        </w:rPr>
        <w:t xml:space="preserve"> РС", </w:t>
      </w:r>
      <w:proofErr w:type="spellStart"/>
      <w:r>
        <w:rPr>
          <w:rFonts w:eastAsia="Times New Roman"/>
        </w:rPr>
        <w:t>број</w:t>
      </w:r>
      <w:proofErr w:type="spellEnd"/>
      <w:r>
        <w:rPr>
          <w:rFonts w:eastAsia="Times New Roman"/>
        </w:rPr>
        <w:t xml:space="preserve"> 114/2008)</w:t>
      </w:r>
    </w:p>
    <w:p w:rsidR="005F1498" w:rsidRDefault="00F97B92">
      <w:pPr>
        <w:autoSpaceDE w:val="0"/>
        <w:jc w:val="both"/>
        <w:rPr>
          <w:rFonts w:eastAsia="Times New Roman"/>
        </w:rPr>
      </w:pPr>
      <w:r>
        <w:rPr>
          <w:rFonts w:eastAsia="Times New Roman"/>
        </w:rPr>
        <w:t>- З</w:t>
      </w:r>
      <w:r w:rsidR="00435DF7">
        <w:rPr>
          <w:rFonts w:eastAsia="Times New Roman"/>
        </w:rPr>
        <w:t xml:space="preserve">акон о управљању отпадом ("Сл. </w:t>
      </w:r>
      <w:r w:rsidR="00435DF7">
        <w:rPr>
          <w:rFonts w:eastAsia="Times New Roman"/>
          <w:lang/>
        </w:rPr>
        <w:t>г</w:t>
      </w:r>
      <w:proofErr w:type="spellStart"/>
      <w:r>
        <w:rPr>
          <w:rFonts w:eastAsia="Times New Roman"/>
        </w:rPr>
        <w:t>ласн</w:t>
      </w:r>
      <w:r w:rsidR="00435DF7">
        <w:rPr>
          <w:rFonts w:eastAsia="Times New Roman"/>
        </w:rPr>
        <w:t>ик</w:t>
      </w:r>
      <w:proofErr w:type="spellEnd"/>
      <w:r w:rsidR="00435DF7">
        <w:rPr>
          <w:rFonts w:eastAsia="Times New Roman"/>
        </w:rPr>
        <w:t xml:space="preserve"> РС", </w:t>
      </w:r>
      <w:proofErr w:type="spellStart"/>
      <w:r w:rsidR="00435DF7">
        <w:rPr>
          <w:rFonts w:eastAsia="Times New Roman"/>
        </w:rPr>
        <w:t>број</w:t>
      </w:r>
      <w:proofErr w:type="spellEnd"/>
      <w:r w:rsidR="00435DF7">
        <w:rPr>
          <w:rFonts w:eastAsia="Times New Roman"/>
        </w:rPr>
        <w:t xml:space="preserve"> 36/2009, 88/2010</w:t>
      </w:r>
      <w:r w:rsidR="00435DF7">
        <w:rPr>
          <w:rFonts w:eastAsia="Times New Roman"/>
          <w:lang/>
        </w:rPr>
        <w:t xml:space="preserve">, </w:t>
      </w:r>
      <w:r>
        <w:rPr>
          <w:rFonts w:eastAsia="Times New Roman"/>
        </w:rPr>
        <w:t>14/2016</w:t>
      </w:r>
      <w:r w:rsidR="00435DF7">
        <w:rPr>
          <w:rFonts w:eastAsia="Times New Roman"/>
          <w:lang/>
        </w:rPr>
        <w:t>, 95/2018-др.закон и 35/2023</w:t>
      </w:r>
      <w:r>
        <w:rPr>
          <w:rFonts w:eastAsia="Times New Roman"/>
        </w:rPr>
        <w:t>)</w:t>
      </w:r>
    </w:p>
    <w:p w:rsidR="005F1498" w:rsidRDefault="00F97B92">
      <w:pPr>
        <w:autoSpaceDE w:val="0"/>
        <w:jc w:val="both"/>
        <w:rPr>
          <w:rFonts w:eastAsia="Times New Roman"/>
        </w:rPr>
      </w:pPr>
      <w:r>
        <w:rPr>
          <w:rFonts w:eastAsia="Times New Roman"/>
        </w:rPr>
        <w:t xml:space="preserve">Правлник о обрасцу документа о кретању отпада и упутству </w:t>
      </w:r>
      <w:proofErr w:type="spellStart"/>
      <w:r>
        <w:rPr>
          <w:rFonts w:eastAsia="Times New Roman"/>
        </w:rPr>
        <w:t>з</w:t>
      </w:r>
      <w:r w:rsidR="00435DF7">
        <w:rPr>
          <w:rFonts w:eastAsia="Times New Roman"/>
        </w:rPr>
        <w:t>а</w:t>
      </w:r>
      <w:proofErr w:type="spellEnd"/>
      <w:r w:rsidR="00435DF7">
        <w:rPr>
          <w:rFonts w:eastAsia="Times New Roman"/>
        </w:rPr>
        <w:t xml:space="preserve"> </w:t>
      </w:r>
      <w:proofErr w:type="spellStart"/>
      <w:r w:rsidR="00435DF7">
        <w:rPr>
          <w:rFonts w:eastAsia="Times New Roman"/>
        </w:rPr>
        <w:t>његово</w:t>
      </w:r>
      <w:proofErr w:type="spellEnd"/>
      <w:r w:rsidR="00435DF7">
        <w:rPr>
          <w:rFonts w:eastAsia="Times New Roman"/>
        </w:rPr>
        <w:t xml:space="preserve"> </w:t>
      </w:r>
      <w:proofErr w:type="spellStart"/>
      <w:r w:rsidR="00435DF7">
        <w:rPr>
          <w:rFonts w:eastAsia="Times New Roman"/>
        </w:rPr>
        <w:t>попуњавање</w:t>
      </w:r>
      <w:proofErr w:type="spellEnd"/>
      <w:r w:rsidR="00435DF7">
        <w:rPr>
          <w:rFonts w:eastAsia="Times New Roman"/>
        </w:rPr>
        <w:t xml:space="preserve"> ("</w:t>
      </w:r>
      <w:proofErr w:type="spellStart"/>
      <w:r w:rsidR="00435DF7">
        <w:rPr>
          <w:rFonts w:eastAsia="Times New Roman"/>
        </w:rPr>
        <w:t>Сл</w:t>
      </w:r>
      <w:proofErr w:type="spellEnd"/>
      <w:r w:rsidR="00435DF7">
        <w:rPr>
          <w:rFonts w:eastAsia="Times New Roman"/>
        </w:rPr>
        <w:t>.</w:t>
      </w:r>
      <w:r w:rsidR="00435DF7">
        <w:rPr>
          <w:rFonts w:eastAsia="Times New Roman"/>
          <w:lang/>
        </w:rPr>
        <w:t>г</w:t>
      </w:r>
      <w:proofErr w:type="spellStart"/>
      <w:r>
        <w:rPr>
          <w:rFonts w:eastAsia="Times New Roman"/>
        </w:rPr>
        <w:t>ласник</w:t>
      </w:r>
      <w:proofErr w:type="spellEnd"/>
      <w:r>
        <w:rPr>
          <w:rFonts w:eastAsia="Times New Roman"/>
        </w:rPr>
        <w:t xml:space="preserve"> РС", 114/2013)</w:t>
      </w:r>
    </w:p>
    <w:p w:rsidR="005F1498" w:rsidRDefault="00F97B92">
      <w:pPr>
        <w:autoSpaceDE w:val="0"/>
        <w:jc w:val="both"/>
        <w:rPr>
          <w:rFonts w:eastAsia="Times New Roman"/>
        </w:rPr>
      </w:pPr>
      <w:r>
        <w:rPr>
          <w:rFonts w:eastAsia="Times New Roman"/>
        </w:rPr>
        <w:t xml:space="preserve">Правилник о условима, начину и поступку </w:t>
      </w:r>
      <w:r w:rsidR="00E65698">
        <w:rPr>
          <w:rFonts w:eastAsia="Times New Roman"/>
        </w:rPr>
        <w:t xml:space="preserve">управљања отпадним уљима ("Сл. </w:t>
      </w:r>
      <w:r w:rsidR="00E65698">
        <w:rPr>
          <w:rFonts w:eastAsia="Times New Roman"/>
          <w:lang/>
        </w:rPr>
        <w:t>г</w:t>
      </w:r>
      <w:proofErr w:type="spellStart"/>
      <w:r>
        <w:rPr>
          <w:rFonts w:eastAsia="Times New Roman"/>
        </w:rPr>
        <w:t>ласник</w:t>
      </w:r>
      <w:proofErr w:type="spellEnd"/>
      <w:r>
        <w:rPr>
          <w:rFonts w:eastAsia="Times New Roman"/>
        </w:rPr>
        <w:t xml:space="preserve"> РС"</w:t>
      </w:r>
      <w:proofErr w:type="gramStart"/>
      <w:r>
        <w:rPr>
          <w:rFonts w:eastAsia="Times New Roman"/>
        </w:rPr>
        <w:t>,71</w:t>
      </w:r>
      <w:proofErr w:type="gramEnd"/>
      <w:r>
        <w:rPr>
          <w:rFonts w:eastAsia="Times New Roman"/>
        </w:rPr>
        <w:t>/2010)</w:t>
      </w:r>
    </w:p>
    <w:p w:rsidR="005F1498" w:rsidRDefault="00F97B92">
      <w:pPr>
        <w:autoSpaceDE w:val="0"/>
        <w:jc w:val="both"/>
        <w:rPr>
          <w:rFonts w:eastAsia="Times New Roman"/>
        </w:rPr>
      </w:pPr>
      <w:r>
        <w:rPr>
          <w:rFonts w:eastAsia="Times New Roman"/>
        </w:rPr>
        <w:t>Правилник о начину и поступку у</w:t>
      </w:r>
      <w:r w:rsidR="00E65698">
        <w:rPr>
          <w:rFonts w:eastAsia="Times New Roman"/>
        </w:rPr>
        <w:t xml:space="preserve">прављања отпадним гумама ("Сл. </w:t>
      </w:r>
      <w:r w:rsidR="00E65698">
        <w:rPr>
          <w:rFonts w:eastAsia="Times New Roman"/>
          <w:lang/>
        </w:rPr>
        <w:t>г</w:t>
      </w:r>
      <w:proofErr w:type="spellStart"/>
      <w:r>
        <w:rPr>
          <w:rFonts w:eastAsia="Times New Roman"/>
        </w:rPr>
        <w:t>ласник</w:t>
      </w:r>
      <w:proofErr w:type="spellEnd"/>
      <w:r>
        <w:rPr>
          <w:rFonts w:eastAsia="Times New Roman"/>
        </w:rPr>
        <w:t xml:space="preserve"> РС", 104/2009 и 81/2010)</w:t>
      </w:r>
    </w:p>
    <w:p w:rsidR="005F1498" w:rsidRDefault="00F97B92">
      <w:pPr>
        <w:autoSpaceDE w:val="0"/>
        <w:jc w:val="both"/>
        <w:rPr>
          <w:rFonts w:eastAsia="Times New Roman"/>
        </w:rPr>
      </w:pPr>
      <w:r>
        <w:rPr>
          <w:rFonts w:eastAsia="Times New Roman"/>
        </w:rPr>
        <w:t xml:space="preserve">- Закон о заштити од </w:t>
      </w:r>
      <w:r w:rsidR="00E65698">
        <w:rPr>
          <w:rFonts w:eastAsia="Times New Roman"/>
        </w:rPr>
        <w:t xml:space="preserve">буке у животној средини ("Сл. </w:t>
      </w:r>
      <w:r w:rsidR="00E65698">
        <w:rPr>
          <w:rFonts w:eastAsia="Times New Roman"/>
          <w:lang/>
        </w:rPr>
        <w:t>г</w:t>
      </w:r>
      <w:proofErr w:type="spellStart"/>
      <w:r>
        <w:rPr>
          <w:rFonts w:eastAsia="Times New Roman"/>
        </w:rPr>
        <w:t>ласник</w:t>
      </w:r>
      <w:proofErr w:type="spellEnd"/>
      <w:r>
        <w:rPr>
          <w:rFonts w:eastAsia="Times New Roman"/>
        </w:rPr>
        <w:t xml:space="preserve"> РС", 96/2021)</w:t>
      </w:r>
    </w:p>
    <w:p w:rsidR="005F1498" w:rsidRDefault="00F97B92">
      <w:pPr>
        <w:autoSpaceDE w:val="0"/>
        <w:jc w:val="both"/>
        <w:rPr>
          <w:rFonts w:eastAsia="Times New Roman"/>
        </w:rPr>
      </w:pPr>
      <w:r>
        <w:rPr>
          <w:rFonts w:eastAsia="Times New Roman"/>
        </w:rPr>
        <w:t xml:space="preserve">Уредбом о индикаторима буке, граничним вредностима, методама за оцењивање индикатора буке, узнемиравања и штетних ефеката буке у животној средини, ("Сл. гласник РС", бр. 75/2010) </w:t>
      </w:r>
    </w:p>
    <w:p w:rsidR="005F1498" w:rsidRDefault="00F97B92">
      <w:pPr>
        <w:autoSpaceDE w:val="0"/>
        <w:jc w:val="both"/>
        <w:rPr>
          <w:rFonts w:eastAsia="Times New Roman"/>
        </w:rPr>
      </w:pPr>
      <w:r>
        <w:rPr>
          <w:rFonts w:eastAsia="Times New Roman"/>
        </w:rPr>
        <w:t>Правилник о методама мерења буке, садржини и обиму</w:t>
      </w:r>
      <w:r w:rsidR="00E65698">
        <w:rPr>
          <w:rFonts w:eastAsia="Times New Roman"/>
        </w:rPr>
        <w:t xml:space="preserve"> извештаја о мерењу буке ("Сл. </w:t>
      </w:r>
      <w:r w:rsidR="00E65698">
        <w:rPr>
          <w:rFonts w:eastAsia="Times New Roman"/>
          <w:lang/>
        </w:rPr>
        <w:t>г</w:t>
      </w:r>
      <w:proofErr w:type="spellStart"/>
      <w:r>
        <w:rPr>
          <w:rFonts w:eastAsia="Times New Roman"/>
        </w:rPr>
        <w:t>ласник</w:t>
      </w:r>
      <w:proofErr w:type="spellEnd"/>
      <w:r>
        <w:rPr>
          <w:rFonts w:eastAsia="Times New Roman"/>
        </w:rPr>
        <w:t xml:space="preserve"> РС", </w:t>
      </w:r>
      <w:proofErr w:type="spellStart"/>
      <w:r>
        <w:rPr>
          <w:rFonts w:eastAsia="Times New Roman"/>
        </w:rPr>
        <w:t>бр</w:t>
      </w:r>
      <w:proofErr w:type="spellEnd"/>
      <w:r>
        <w:rPr>
          <w:rFonts w:eastAsia="Times New Roman"/>
        </w:rPr>
        <w:t>. 72/2010)</w:t>
      </w:r>
    </w:p>
    <w:p w:rsidR="005F1498" w:rsidRDefault="00F97B92">
      <w:pPr>
        <w:autoSpaceDE w:val="0"/>
        <w:jc w:val="both"/>
        <w:rPr>
          <w:rFonts w:eastAsia="Times New Roman"/>
        </w:rPr>
      </w:pPr>
      <w:r>
        <w:rPr>
          <w:rFonts w:eastAsia="Times New Roman"/>
        </w:rPr>
        <w:t>Правилник о буци коју емитује опрема која се употребљава на отвореном простору ("Сл. гласник РС", бр. 1/2013)</w:t>
      </w:r>
    </w:p>
    <w:p w:rsidR="005F1498" w:rsidRDefault="00F97B92">
      <w:pPr>
        <w:autoSpaceDE w:val="0"/>
        <w:jc w:val="both"/>
        <w:rPr>
          <w:rFonts w:eastAsia="Times New Roman"/>
        </w:rPr>
      </w:pPr>
      <w:r>
        <w:rPr>
          <w:rFonts w:eastAsia="Times New Roman"/>
        </w:rPr>
        <w:t>- Закон о заштити ваздуха (</w:t>
      </w:r>
      <w:r w:rsidR="00E65698">
        <w:rPr>
          <w:rFonts w:eastAsia="Times New Roman"/>
        </w:rPr>
        <w:t>"Сл. гласник РС", бр. 36/</w:t>
      </w:r>
      <w:proofErr w:type="gramStart"/>
      <w:r w:rsidR="00E65698">
        <w:rPr>
          <w:rFonts w:eastAsia="Times New Roman"/>
        </w:rPr>
        <w:t xml:space="preserve">2009 </w:t>
      </w:r>
      <w:r w:rsidR="00E65698">
        <w:rPr>
          <w:rFonts w:eastAsia="Times New Roman"/>
          <w:lang/>
        </w:rPr>
        <w:t>,</w:t>
      </w:r>
      <w:r>
        <w:rPr>
          <w:rFonts w:eastAsia="Times New Roman"/>
        </w:rPr>
        <w:t>10</w:t>
      </w:r>
      <w:proofErr w:type="gramEnd"/>
      <w:r>
        <w:rPr>
          <w:rFonts w:eastAsia="Times New Roman"/>
        </w:rPr>
        <w:t>/2013</w:t>
      </w:r>
      <w:r w:rsidR="00E65698">
        <w:rPr>
          <w:rFonts w:eastAsia="Times New Roman"/>
          <w:lang/>
        </w:rPr>
        <w:t xml:space="preserve"> и 26/2021-др.закон</w:t>
      </w:r>
      <w:r>
        <w:rPr>
          <w:rFonts w:eastAsia="Times New Roman"/>
        </w:rPr>
        <w:t>)</w:t>
      </w:r>
    </w:p>
    <w:p w:rsidR="005F1498" w:rsidRDefault="00F97B92">
      <w:pPr>
        <w:autoSpaceDE w:val="0"/>
        <w:jc w:val="both"/>
        <w:rPr>
          <w:rFonts w:eastAsia="Times New Roman"/>
        </w:rPr>
      </w:pPr>
      <w:r>
        <w:rPr>
          <w:rFonts w:eastAsia="Times New Roman"/>
        </w:rPr>
        <w:lastRenderedPageBreak/>
        <w:t>Уредба о мерењима емисија загађујућих материја у ваздух из стационарних извора загађивања ("Сл. гласник РС", бр. 5/2016)</w:t>
      </w:r>
    </w:p>
    <w:p w:rsidR="005F1498" w:rsidRDefault="00F97B92">
      <w:pPr>
        <w:autoSpaceDE w:val="0"/>
        <w:jc w:val="both"/>
        <w:rPr>
          <w:rFonts w:eastAsia="Times New Roman"/>
        </w:rPr>
      </w:pPr>
      <w:r>
        <w:rPr>
          <w:rFonts w:eastAsia="Times New Roman"/>
        </w:rPr>
        <w:t>Уредба о граничним вредностима емисија загађујућих материја у ваздух из стационарних извора</w:t>
      </w:r>
    </w:p>
    <w:p w:rsidR="005F1498" w:rsidRDefault="00F97B92">
      <w:pPr>
        <w:autoSpaceDE w:val="0"/>
        <w:jc w:val="both"/>
        <w:rPr>
          <w:rFonts w:eastAsia="Times New Roman"/>
        </w:rPr>
      </w:pPr>
      <w:proofErr w:type="gramStart"/>
      <w:r>
        <w:rPr>
          <w:rFonts w:eastAsia="Times New Roman"/>
        </w:rPr>
        <w:t>загађивања</w:t>
      </w:r>
      <w:proofErr w:type="gramEnd"/>
      <w:r>
        <w:rPr>
          <w:rFonts w:eastAsia="Times New Roman"/>
        </w:rPr>
        <w:t>, осим постројења за сагоревање ("Сл. гласник РС", бр. 111/2015</w:t>
      </w:r>
      <w:r w:rsidR="004D59EE">
        <w:rPr>
          <w:rFonts w:eastAsia="Times New Roman"/>
          <w:lang/>
        </w:rPr>
        <w:t xml:space="preserve"> и 83/2021</w:t>
      </w:r>
      <w:r>
        <w:rPr>
          <w:rFonts w:eastAsia="Times New Roman"/>
        </w:rPr>
        <w:t>)</w:t>
      </w:r>
    </w:p>
    <w:p w:rsidR="005F1498" w:rsidRDefault="00F97B92">
      <w:pPr>
        <w:autoSpaceDE w:val="0"/>
        <w:jc w:val="both"/>
        <w:rPr>
          <w:rFonts w:eastAsia="Times New Roman"/>
        </w:rPr>
      </w:pPr>
      <w:r>
        <w:rPr>
          <w:rFonts w:eastAsia="Times New Roman"/>
        </w:rPr>
        <w:t>Уредба о граничним вредностима емисија загађујућих материја у ваздух из постројења за сагоревање ("Сл. гласник РС", бр. 6/2016</w:t>
      </w:r>
      <w:r w:rsidR="004D59EE">
        <w:rPr>
          <w:rFonts w:eastAsia="Times New Roman"/>
          <w:lang/>
        </w:rPr>
        <w:t xml:space="preserve"> и 67/2021</w:t>
      </w:r>
      <w:r>
        <w:rPr>
          <w:rFonts w:eastAsia="Times New Roman"/>
        </w:rPr>
        <w:t>)</w:t>
      </w:r>
    </w:p>
    <w:p w:rsidR="005F1498" w:rsidRDefault="00F97B92">
      <w:pPr>
        <w:autoSpaceDE w:val="0"/>
        <w:jc w:val="both"/>
        <w:rPr>
          <w:rFonts w:eastAsia="Times New Roman"/>
        </w:rPr>
      </w:pPr>
      <w:r>
        <w:rPr>
          <w:rFonts w:eastAsia="Times New Roman"/>
        </w:rPr>
        <w:t>Уредба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 Гласник РС", 100/2011)</w:t>
      </w:r>
    </w:p>
    <w:p w:rsidR="005F1498" w:rsidRDefault="00F97B92">
      <w:pPr>
        <w:widowControl/>
        <w:jc w:val="both"/>
      </w:pPr>
      <w:proofErr w:type="spellStart"/>
      <w:r>
        <w:rPr>
          <w:rFonts w:eastAsia="Times New Roman"/>
          <w:lang w:eastAsia="zh-CN"/>
        </w:rPr>
        <w:t>Уредба</w:t>
      </w:r>
      <w:proofErr w:type="spellEnd"/>
      <w:r>
        <w:rPr>
          <w:rFonts w:eastAsia="Times New Roman"/>
          <w:lang w:eastAsia="zh-CN"/>
        </w:rPr>
        <w:t> </w:t>
      </w:r>
      <w:r>
        <w:rPr>
          <w:rFonts w:eastAsia="Times New Roman"/>
          <w:color w:val="333333"/>
          <w:lang w:eastAsia="zh-CN"/>
        </w:rPr>
        <w:t xml:space="preserve">о </w:t>
      </w:r>
      <w:proofErr w:type="spellStart"/>
      <w:r>
        <w:rPr>
          <w:rFonts w:eastAsia="Times New Roman"/>
          <w:color w:val="333333"/>
          <w:lang w:eastAsia="zh-CN"/>
        </w:rPr>
        <w:t>поступању</w:t>
      </w:r>
      <w:proofErr w:type="spellEnd"/>
      <w:r>
        <w:rPr>
          <w:rFonts w:eastAsia="Times New Roman"/>
          <w:color w:val="333333"/>
          <w:lang w:eastAsia="zh-CN"/>
        </w:rPr>
        <w:t xml:space="preserve"> </w:t>
      </w:r>
      <w:proofErr w:type="spellStart"/>
      <w:r>
        <w:rPr>
          <w:rFonts w:eastAsia="Times New Roman"/>
          <w:color w:val="333333"/>
          <w:lang w:eastAsia="zh-CN"/>
        </w:rPr>
        <w:t>са</w:t>
      </w:r>
      <w:proofErr w:type="spellEnd"/>
      <w:r>
        <w:rPr>
          <w:rFonts w:eastAsia="Times New Roman"/>
          <w:color w:val="333333"/>
          <w:lang w:eastAsia="zh-CN"/>
        </w:rPr>
        <w:t xml:space="preserve"> </w:t>
      </w:r>
      <w:proofErr w:type="spellStart"/>
      <w:r>
        <w:rPr>
          <w:rFonts w:eastAsia="Times New Roman"/>
          <w:color w:val="333333"/>
          <w:lang w:eastAsia="zh-CN"/>
        </w:rPr>
        <w:t>супстанцама</w:t>
      </w:r>
      <w:proofErr w:type="spellEnd"/>
      <w:r>
        <w:rPr>
          <w:rFonts w:eastAsia="Times New Roman"/>
          <w:color w:val="333333"/>
          <w:lang w:eastAsia="zh-CN"/>
        </w:rPr>
        <w:t xml:space="preserve"> </w:t>
      </w:r>
      <w:proofErr w:type="spellStart"/>
      <w:r>
        <w:rPr>
          <w:rFonts w:eastAsia="Times New Roman"/>
          <w:color w:val="333333"/>
          <w:lang w:eastAsia="zh-CN"/>
        </w:rPr>
        <w:t>које</w:t>
      </w:r>
      <w:proofErr w:type="spellEnd"/>
      <w:r>
        <w:rPr>
          <w:rFonts w:eastAsia="Times New Roman"/>
          <w:color w:val="333333"/>
          <w:lang w:eastAsia="zh-CN"/>
        </w:rPr>
        <w:t xml:space="preserve"> </w:t>
      </w:r>
      <w:proofErr w:type="spellStart"/>
      <w:r>
        <w:rPr>
          <w:rFonts w:eastAsia="Times New Roman"/>
          <w:color w:val="333333"/>
          <w:lang w:eastAsia="zh-CN"/>
        </w:rPr>
        <w:t>оштећују</w:t>
      </w:r>
      <w:proofErr w:type="spellEnd"/>
      <w:r>
        <w:rPr>
          <w:rFonts w:eastAsia="Times New Roman"/>
          <w:color w:val="333333"/>
          <w:lang w:eastAsia="zh-CN"/>
        </w:rPr>
        <w:t xml:space="preserve"> </w:t>
      </w:r>
      <w:proofErr w:type="spellStart"/>
      <w:r>
        <w:rPr>
          <w:rFonts w:eastAsia="Times New Roman"/>
          <w:color w:val="333333"/>
          <w:lang w:eastAsia="zh-CN"/>
        </w:rPr>
        <w:t>озонски</w:t>
      </w:r>
      <w:proofErr w:type="spellEnd"/>
      <w:r>
        <w:rPr>
          <w:rFonts w:eastAsia="Times New Roman"/>
          <w:color w:val="333333"/>
          <w:lang w:eastAsia="zh-CN"/>
        </w:rPr>
        <w:t xml:space="preserve"> </w:t>
      </w:r>
      <w:proofErr w:type="spellStart"/>
      <w:r>
        <w:rPr>
          <w:rFonts w:eastAsia="Times New Roman"/>
          <w:color w:val="333333"/>
          <w:lang w:eastAsia="zh-CN"/>
        </w:rPr>
        <w:t>омотач</w:t>
      </w:r>
      <w:proofErr w:type="spellEnd"/>
      <w:r>
        <w:rPr>
          <w:rFonts w:eastAsia="Times New Roman"/>
          <w:color w:val="333333"/>
          <w:lang w:eastAsia="zh-CN"/>
        </w:rPr>
        <w:t xml:space="preserve">, </w:t>
      </w:r>
      <w:proofErr w:type="spellStart"/>
      <w:r>
        <w:rPr>
          <w:rFonts w:eastAsia="Times New Roman"/>
          <w:color w:val="333333"/>
          <w:lang w:eastAsia="zh-CN"/>
        </w:rPr>
        <w:t>као</w:t>
      </w:r>
      <w:proofErr w:type="spellEnd"/>
      <w:r>
        <w:rPr>
          <w:rFonts w:eastAsia="Times New Roman"/>
          <w:color w:val="333333"/>
          <w:lang w:eastAsia="zh-CN"/>
        </w:rPr>
        <w:t xml:space="preserve"> и о </w:t>
      </w:r>
      <w:proofErr w:type="spellStart"/>
      <w:r>
        <w:rPr>
          <w:rFonts w:eastAsia="Times New Roman"/>
          <w:color w:val="333333"/>
          <w:lang w:eastAsia="zh-CN"/>
        </w:rPr>
        <w:t>условима</w:t>
      </w:r>
      <w:proofErr w:type="spellEnd"/>
      <w:r>
        <w:rPr>
          <w:rFonts w:eastAsia="Times New Roman"/>
          <w:color w:val="333333"/>
          <w:lang w:eastAsia="zh-CN"/>
        </w:rPr>
        <w:t xml:space="preserve"> </w:t>
      </w:r>
      <w:proofErr w:type="spellStart"/>
      <w:r>
        <w:rPr>
          <w:rFonts w:eastAsia="Times New Roman"/>
          <w:color w:val="333333"/>
          <w:lang w:eastAsia="zh-CN"/>
        </w:rPr>
        <w:t>за</w:t>
      </w:r>
      <w:proofErr w:type="spellEnd"/>
      <w:r>
        <w:rPr>
          <w:rFonts w:eastAsia="Times New Roman"/>
          <w:color w:val="333333"/>
          <w:lang w:eastAsia="zh-CN"/>
        </w:rPr>
        <w:t xml:space="preserve"> </w:t>
      </w:r>
      <w:proofErr w:type="spellStart"/>
      <w:r>
        <w:rPr>
          <w:rFonts w:eastAsia="Times New Roman"/>
          <w:color w:val="333333"/>
          <w:lang w:eastAsia="zh-CN"/>
        </w:rPr>
        <w:t>издавање</w:t>
      </w:r>
      <w:proofErr w:type="spellEnd"/>
      <w:r>
        <w:rPr>
          <w:rFonts w:eastAsia="Times New Roman"/>
          <w:color w:val="333333"/>
          <w:lang w:eastAsia="zh-CN"/>
        </w:rPr>
        <w:t xml:space="preserve"> </w:t>
      </w:r>
      <w:proofErr w:type="spellStart"/>
      <w:r>
        <w:rPr>
          <w:rFonts w:eastAsia="Times New Roman"/>
          <w:color w:val="333333"/>
          <w:lang w:eastAsia="zh-CN"/>
        </w:rPr>
        <w:t>дозвола</w:t>
      </w:r>
      <w:proofErr w:type="spellEnd"/>
      <w:r>
        <w:rPr>
          <w:rFonts w:eastAsia="Times New Roman"/>
          <w:color w:val="333333"/>
          <w:lang w:eastAsia="zh-CN"/>
        </w:rPr>
        <w:t xml:space="preserve"> </w:t>
      </w:r>
      <w:proofErr w:type="spellStart"/>
      <w:r>
        <w:rPr>
          <w:rFonts w:eastAsia="Times New Roman"/>
          <w:color w:val="333333"/>
          <w:lang w:eastAsia="zh-CN"/>
        </w:rPr>
        <w:t>за</w:t>
      </w:r>
      <w:proofErr w:type="spellEnd"/>
      <w:r>
        <w:rPr>
          <w:rFonts w:eastAsia="Times New Roman"/>
          <w:color w:val="333333"/>
          <w:lang w:eastAsia="zh-CN"/>
        </w:rPr>
        <w:t xml:space="preserve"> </w:t>
      </w:r>
      <w:proofErr w:type="spellStart"/>
      <w:r>
        <w:rPr>
          <w:rFonts w:eastAsia="Times New Roman"/>
          <w:color w:val="333333"/>
          <w:lang w:eastAsia="zh-CN"/>
        </w:rPr>
        <w:t>увоз</w:t>
      </w:r>
      <w:proofErr w:type="spellEnd"/>
      <w:r>
        <w:rPr>
          <w:rFonts w:eastAsia="Times New Roman"/>
          <w:color w:val="333333"/>
          <w:lang w:eastAsia="zh-CN"/>
        </w:rPr>
        <w:t xml:space="preserve"> и </w:t>
      </w:r>
      <w:proofErr w:type="spellStart"/>
      <w:r>
        <w:rPr>
          <w:rFonts w:eastAsia="Times New Roman"/>
          <w:color w:val="333333"/>
          <w:lang w:eastAsia="zh-CN"/>
        </w:rPr>
        <w:t>извоз</w:t>
      </w:r>
      <w:proofErr w:type="spellEnd"/>
      <w:r>
        <w:rPr>
          <w:rFonts w:eastAsia="Times New Roman"/>
          <w:color w:val="333333"/>
          <w:lang w:eastAsia="zh-CN"/>
        </w:rPr>
        <w:t xml:space="preserve"> </w:t>
      </w:r>
      <w:proofErr w:type="spellStart"/>
      <w:r>
        <w:rPr>
          <w:rFonts w:eastAsia="Times New Roman"/>
          <w:color w:val="333333"/>
          <w:lang w:eastAsia="zh-CN"/>
        </w:rPr>
        <w:t>тих</w:t>
      </w:r>
      <w:proofErr w:type="spellEnd"/>
      <w:r>
        <w:rPr>
          <w:rFonts w:eastAsia="Times New Roman"/>
          <w:color w:val="333333"/>
          <w:lang w:eastAsia="zh-CN"/>
        </w:rPr>
        <w:t xml:space="preserve"> </w:t>
      </w:r>
      <w:proofErr w:type="spellStart"/>
      <w:r>
        <w:rPr>
          <w:rFonts w:eastAsia="Times New Roman"/>
          <w:color w:val="333333"/>
          <w:lang w:eastAsia="zh-CN"/>
        </w:rPr>
        <w:t>супстанци</w:t>
      </w:r>
      <w:proofErr w:type="spellEnd"/>
      <w:r>
        <w:rPr>
          <w:rFonts w:eastAsia="Times New Roman"/>
          <w:lang w:eastAsia="zh-CN"/>
        </w:rPr>
        <w:t xml:space="preserve"> (</w:t>
      </w:r>
      <w:r>
        <w:rPr>
          <w:rFonts w:eastAsia="Times New Roman"/>
          <w:color w:val="333333"/>
          <w:lang w:eastAsia="zh-CN"/>
        </w:rPr>
        <w:t>"</w:t>
      </w:r>
      <w:proofErr w:type="spellStart"/>
      <w:r>
        <w:rPr>
          <w:rFonts w:eastAsia="Times New Roman"/>
          <w:color w:val="333333"/>
          <w:lang w:eastAsia="zh-CN"/>
        </w:rPr>
        <w:t>Служб</w:t>
      </w:r>
      <w:r>
        <w:rPr>
          <w:rFonts w:eastAsia="Times New Roman"/>
          <w:lang w:eastAsia="zh-CN"/>
        </w:rPr>
        <w:t>ени</w:t>
      </w:r>
      <w:proofErr w:type="spellEnd"/>
      <w:r>
        <w:rPr>
          <w:rFonts w:eastAsia="Times New Roman"/>
          <w:lang w:eastAsia="zh-CN"/>
        </w:rPr>
        <w:t xml:space="preserve"> </w:t>
      </w:r>
      <w:proofErr w:type="spellStart"/>
      <w:r>
        <w:rPr>
          <w:rFonts w:eastAsia="Times New Roman"/>
          <w:lang w:eastAsia="zh-CN"/>
        </w:rPr>
        <w:t>гласник</w:t>
      </w:r>
      <w:proofErr w:type="spellEnd"/>
      <w:r>
        <w:rPr>
          <w:rFonts w:eastAsia="Times New Roman"/>
          <w:lang w:eastAsia="zh-CN"/>
        </w:rPr>
        <w:t xml:space="preserve"> РС", </w:t>
      </w:r>
      <w:proofErr w:type="spellStart"/>
      <w:r>
        <w:rPr>
          <w:rFonts w:eastAsia="Times New Roman"/>
          <w:lang w:eastAsia="zh-CN"/>
        </w:rPr>
        <w:t>бр</w:t>
      </w:r>
      <w:proofErr w:type="spellEnd"/>
      <w:r>
        <w:rPr>
          <w:rFonts w:eastAsia="Times New Roman"/>
          <w:lang w:eastAsia="zh-CN"/>
        </w:rPr>
        <w:t xml:space="preserve">. 114 </w:t>
      </w:r>
      <w:proofErr w:type="spellStart"/>
      <w:r>
        <w:rPr>
          <w:rFonts w:eastAsia="Times New Roman"/>
          <w:lang w:eastAsia="zh-CN"/>
        </w:rPr>
        <w:t>од</w:t>
      </w:r>
      <w:proofErr w:type="spellEnd"/>
      <w:r>
        <w:rPr>
          <w:rFonts w:eastAsia="Times New Roman"/>
          <w:lang w:eastAsia="zh-CN"/>
        </w:rPr>
        <w:t xml:space="preserve"> 23. </w:t>
      </w:r>
      <w:proofErr w:type="spellStart"/>
      <w:r>
        <w:rPr>
          <w:rFonts w:eastAsia="Times New Roman"/>
          <w:lang w:eastAsia="zh-CN"/>
        </w:rPr>
        <w:t>децембра</w:t>
      </w:r>
      <w:proofErr w:type="spellEnd"/>
      <w:r>
        <w:rPr>
          <w:rFonts w:eastAsia="Times New Roman"/>
          <w:lang w:eastAsia="zh-CN"/>
        </w:rPr>
        <w:t xml:space="preserve"> 2013, 23 </w:t>
      </w:r>
      <w:proofErr w:type="spellStart"/>
      <w:r>
        <w:rPr>
          <w:rFonts w:eastAsia="Times New Roman"/>
          <w:lang w:eastAsia="zh-CN"/>
        </w:rPr>
        <w:t>од</w:t>
      </w:r>
      <w:proofErr w:type="spellEnd"/>
      <w:r>
        <w:rPr>
          <w:rFonts w:eastAsia="Times New Roman"/>
          <w:lang w:eastAsia="zh-CN"/>
        </w:rPr>
        <w:t xml:space="preserve"> 23. </w:t>
      </w:r>
      <w:proofErr w:type="spellStart"/>
      <w:r>
        <w:rPr>
          <w:rFonts w:eastAsia="Times New Roman"/>
          <w:lang w:eastAsia="zh-CN"/>
        </w:rPr>
        <w:t>марта</w:t>
      </w:r>
      <w:proofErr w:type="spellEnd"/>
      <w:r>
        <w:rPr>
          <w:rFonts w:eastAsia="Times New Roman"/>
          <w:lang w:eastAsia="zh-CN"/>
        </w:rPr>
        <w:t xml:space="preserve"> 2018, 44 </w:t>
      </w:r>
      <w:proofErr w:type="spellStart"/>
      <w:r>
        <w:rPr>
          <w:rFonts w:eastAsia="Times New Roman"/>
          <w:lang w:eastAsia="zh-CN"/>
        </w:rPr>
        <w:t>од</w:t>
      </w:r>
      <w:proofErr w:type="spellEnd"/>
      <w:r>
        <w:rPr>
          <w:rFonts w:eastAsia="Times New Roman"/>
          <w:lang w:eastAsia="zh-CN"/>
        </w:rPr>
        <w:t xml:space="preserve"> 8. </w:t>
      </w:r>
      <w:proofErr w:type="spellStart"/>
      <w:r>
        <w:rPr>
          <w:rFonts w:eastAsia="Times New Roman"/>
          <w:lang w:eastAsia="zh-CN"/>
        </w:rPr>
        <w:t>јуна</w:t>
      </w:r>
      <w:proofErr w:type="spellEnd"/>
      <w:r>
        <w:rPr>
          <w:rFonts w:eastAsia="Times New Roman"/>
          <w:lang w:eastAsia="zh-CN"/>
        </w:rPr>
        <w:t xml:space="preserve"> 2018 - </w:t>
      </w:r>
      <w:proofErr w:type="spellStart"/>
      <w:r>
        <w:rPr>
          <w:rFonts w:eastAsia="Times New Roman"/>
          <w:lang w:eastAsia="zh-CN"/>
        </w:rPr>
        <w:t>др</w:t>
      </w:r>
      <w:proofErr w:type="spellEnd"/>
      <w:r>
        <w:rPr>
          <w:rFonts w:eastAsia="Times New Roman"/>
          <w:lang w:eastAsia="zh-CN"/>
        </w:rPr>
        <w:t xml:space="preserve">. </w:t>
      </w:r>
      <w:proofErr w:type="spellStart"/>
      <w:r>
        <w:rPr>
          <w:rFonts w:eastAsia="Times New Roman"/>
          <w:lang w:eastAsia="zh-CN"/>
        </w:rPr>
        <w:t>закон</w:t>
      </w:r>
      <w:proofErr w:type="spellEnd"/>
      <w:r>
        <w:rPr>
          <w:rFonts w:eastAsia="Times New Roman"/>
          <w:lang w:eastAsia="zh-CN"/>
        </w:rPr>
        <w:t xml:space="preserve">, 95 </w:t>
      </w:r>
      <w:proofErr w:type="spellStart"/>
      <w:r>
        <w:rPr>
          <w:rFonts w:eastAsia="Times New Roman"/>
          <w:lang w:eastAsia="zh-CN"/>
        </w:rPr>
        <w:t>од</w:t>
      </w:r>
      <w:proofErr w:type="spellEnd"/>
      <w:r>
        <w:rPr>
          <w:rFonts w:eastAsia="Times New Roman"/>
          <w:lang w:eastAsia="zh-CN"/>
        </w:rPr>
        <w:t xml:space="preserve"> 8. </w:t>
      </w:r>
      <w:proofErr w:type="spellStart"/>
      <w:r>
        <w:rPr>
          <w:rFonts w:eastAsia="Times New Roman"/>
          <w:lang w:eastAsia="zh-CN"/>
        </w:rPr>
        <w:t>децембра</w:t>
      </w:r>
      <w:proofErr w:type="spellEnd"/>
      <w:r>
        <w:rPr>
          <w:rFonts w:eastAsia="Times New Roman"/>
          <w:lang w:eastAsia="zh-CN"/>
        </w:rPr>
        <w:t xml:space="preserve"> 2018 - </w:t>
      </w:r>
      <w:proofErr w:type="spellStart"/>
      <w:r>
        <w:rPr>
          <w:rFonts w:eastAsia="Times New Roman"/>
          <w:lang w:eastAsia="zh-CN"/>
        </w:rPr>
        <w:t>др</w:t>
      </w:r>
      <w:proofErr w:type="spellEnd"/>
      <w:r>
        <w:rPr>
          <w:rFonts w:eastAsia="Times New Roman"/>
          <w:lang w:eastAsia="zh-CN"/>
        </w:rPr>
        <w:t xml:space="preserve">. </w:t>
      </w:r>
      <w:proofErr w:type="spellStart"/>
      <w:r>
        <w:rPr>
          <w:rFonts w:eastAsia="Times New Roman"/>
          <w:lang w:eastAsia="zh-CN"/>
        </w:rPr>
        <w:t>Закон</w:t>
      </w:r>
      <w:proofErr w:type="spellEnd"/>
      <w:r>
        <w:rPr>
          <w:rFonts w:eastAsia="Times New Roman"/>
          <w:lang w:eastAsia="zh-CN"/>
        </w:rPr>
        <w:t>)</w:t>
      </w:r>
    </w:p>
    <w:p w:rsidR="005F1498" w:rsidRDefault="00F97B92">
      <w:pPr>
        <w:autoSpaceDE w:val="0"/>
        <w:jc w:val="both"/>
        <w:rPr>
          <w:rFonts w:eastAsia="Times New Roman"/>
        </w:rPr>
      </w:pPr>
      <w:r>
        <w:rPr>
          <w:rFonts w:eastAsia="Times New Roman"/>
        </w:rPr>
        <w:t>- Закон о заштити од нејонизујућих зрачења ("Сл. Гласник РС", број 36/2009)</w:t>
      </w:r>
    </w:p>
    <w:p w:rsidR="005F1498" w:rsidRDefault="00F97B92">
      <w:pPr>
        <w:autoSpaceDE w:val="0"/>
        <w:jc w:val="both"/>
        <w:rPr>
          <w:rFonts w:eastAsia="Times New Roman"/>
        </w:rPr>
      </w:pPr>
      <w:r>
        <w:rPr>
          <w:rFonts w:eastAsia="Times New Roman"/>
        </w:rPr>
        <w:t>Правилник о изворима нејонизујућих зрачења од посебног интереса, врстама извора, начину и периоду њиховог испитивања ("Сл. Гласник РС", број 104/2009)</w:t>
      </w:r>
    </w:p>
    <w:p w:rsidR="005F1498" w:rsidRDefault="00F97B92">
      <w:pPr>
        <w:autoSpaceDE w:val="0"/>
        <w:jc w:val="both"/>
        <w:rPr>
          <w:rFonts w:eastAsia="Times New Roman"/>
        </w:rPr>
      </w:pPr>
      <w:r>
        <w:rPr>
          <w:rFonts w:eastAsia="Times New Roman"/>
        </w:rPr>
        <w:t>Правилник о границама излагања нејонизујућим зрачењима ("Сл. Гласник РС", број 104/2009)</w:t>
      </w:r>
    </w:p>
    <w:p w:rsidR="005F1498" w:rsidRDefault="00F97B92">
      <w:pPr>
        <w:autoSpaceDE w:val="0"/>
        <w:jc w:val="both"/>
        <w:rPr>
          <w:rFonts w:eastAsia="Times New Roman"/>
        </w:rPr>
      </w:pPr>
      <w:r>
        <w:rPr>
          <w:rFonts w:eastAsia="Times New Roman"/>
        </w:rPr>
        <w:t xml:space="preserve">- Закон о хемикалијама ("Сл. Гласник РС", број 36/2009, 88/2010, 92/2011, 93/2012 и 25/2015) и </w:t>
      </w:r>
    </w:p>
    <w:p w:rsidR="005F1498" w:rsidRDefault="00F97B92">
      <w:pPr>
        <w:autoSpaceDE w:val="0"/>
        <w:jc w:val="both"/>
        <w:rPr>
          <w:rFonts w:eastAsia="Times New Roman"/>
        </w:rPr>
      </w:pPr>
      <w:r>
        <w:rPr>
          <w:rFonts w:eastAsia="Times New Roman"/>
        </w:rPr>
        <w:t>- Закон о енергетици („Сл. гл. РС“, бр. 145/2014</w:t>
      </w:r>
      <w:r w:rsidR="007738DA">
        <w:rPr>
          <w:rFonts w:eastAsia="Times New Roman"/>
        </w:rPr>
        <w:t>, 95/2018-др.закон</w:t>
      </w:r>
      <w:r w:rsidR="007738DA">
        <w:rPr>
          <w:rFonts w:eastAsia="Times New Roman"/>
          <w:lang/>
        </w:rPr>
        <w:t>, 40/2021, 35/2023-др.закон и 62/2023</w:t>
      </w:r>
      <w:r>
        <w:rPr>
          <w:rFonts w:eastAsia="Times New Roman"/>
        </w:rPr>
        <w:t>)</w:t>
      </w:r>
    </w:p>
    <w:p w:rsidR="005F1498" w:rsidRDefault="005F1498">
      <w:pPr>
        <w:autoSpaceDE w:val="0"/>
        <w:jc w:val="both"/>
        <w:rPr>
          <w:rFonts w:eastAsia="Times New Roman"/>
        </w:rPr>
      </w:pPr>
    </w:p>
    <w:p w:rsidR="005F1498" w:rsidRDefault="005F1498">
      <w:pPr>
        <w:autoSpaceDE w:val="0"/>
        <w:jc w:val="both"/>
        <w:rPr>
          <w:rFonts w:eastAsia="Times New Roman"/>
        </w:rPr>
      </w:pPr>
    </w:p>
    <w:p w:rsidR="005F1498" w:rsidRDefault="00F97B92">
      <w:pPr>
        <w:numPr>
          <w:ilvl w:val="0"/>
          <w:numId w:val="1"/>
        </w:numPr>
        <w:autoSpaceDE w:val="0"/>
        <w:jc w:val="center"/>
        <w:rPr>
          <w:rFonts w:eastAsia="Times New Roman"/>
          <w:b/>
          <w:bCs/>
        </w:rPr>
      </w:pPr>
      <w:r>
        <w:rPr>
          <w:rFonts w:eastAsia="Times New Roman"/>
          <w:b/>
          <w:bCs/>
        </w:rPr>
        <w:t>УЧЕСТАЛОСТ И ОБУХВАТ ВРШЕЊА ИНСПЕКЦИЈСКОГ НАДЗОРА</w:t>
      </w:r>
    </w:p>
    <w:p w:rsidR="005F1498" w:rsidRDefault="005F1498">
      <w:pPr>
        <w:autoSpaceDE w:val="0"/>
        <w:jc w:val="center"/>
        <w:rPr>
          <w:rFonts w:eastAsia="Times New Roman"/>
        </w:rPr>
      </w:pPr>
    </w:p>
    <w:p w:rsidR="005F1498" w:rsidRDefault="00F97B92">
      <w:pPr>
        <w:pStyle w:val="NormalWeb"/>
        <w:widowControl/>
        <w:spacing w:before="225" w:after="225"/>
        <w:ind w:firstLine="480"/>
        <w:jc w:val="both"/>
        <w:rPr>
          <w:rFonts w:eastAsia="Times New Roman"/>
        </w:rPr>
      </w:pPr>
      <w:r>
        <w:rPr>
          <w:rFonts w:eastAsia="Times New Roman"/>
        </w:rPr>
        <w:t xml:space="preserve">На основу Правилника </w:t>
      </w:r>
      <w:r>
        <w:rPr>
          <w:bCs/>
        </w:rPr>
        <w:t xml:space="preserve">о посебним елементима процене ризика, учесталости вршења инспекцијског надзора на основу процене ризика и посебним елементима плана инспекцијског надзора у области заштите животне средине </w:t>
      </w:r>
      <w:r>
        <w:t>("Службени гласник РС", бр. 45 од 13. јуна 2018, 59 од 23. августа 2019.)</w:t>
      </w:r>
      <w:r>
        <w:rPr>
          <w:rFonts w:eastAsia="Times New Roman"/>
        </w:rPr>
        <w:t xml:space="preserve">, </w:t>
      </w:r>
      <w:proofErr w:type="spellStart"/>
      <w:r>
        <w:rPr>
          <w:rFonts w:eastAsia="Times New Roman"/>
        </w:rPr>
        <w:t>планирани</w:t>
      </w:r>
      <w:proofErr w:type="spellEnd"/>
      <w:r>
        <w:rPr>
          <w:rFonts w:eastAsia="Times New Roman"/>
        </w:rPr>
        <w:t xml:space="preserve"> </w:t>
      </w:r>
      <w:proofErr w:type="spellStart"/>
      <w:r>
        <w:rPr>
          <w:rFonts w:eastAsia="Times New Roman"/>
        </w:rPr>
        <w:t>број</w:t>
      </w:r>
      <w:proofErr w:type="spellEnd"/>
      <w:r>
        <w:rPr>
          <w:rFonts w:eastAsia="Times New Roman"/>
        </w:rPr>
        <w:t xml:space="preserve"> </w:t>
      </w:r>
      <w:proofErr w:type="spellStart"/>
      <w:r>
        <w:rPr>
          <w:rFonts w:eastAsia="Times New Roman"/>
        </w:rPr>
        <w:t>редовних</w:t>
      </w:r>
      <w:proofErr w:type="spellEnd"/>
      <w:r>
        <w:rPr>
          <w:rFonts w:eastAsia="Times New Roman"/>
        </w:rPr>
        <w:t xml:space="preserve"> </w:t>
      </w:r>
      <w:proofErr w:type="spellStart"/>
      <w:r>
        <w:rPr>
          <w:rFonts w:eastAsia="Times New Roman"/>
        </w:rPr>
        <w:t>инспекцијских</w:t>
      </w:r>
      <w:proofErr w:type="spellEnd"/>
      <w:r>
        <w:rPr>
          <w:rFonts w:eastAsia="Times New Roman"/>
        </w:rPr>
        <w:t xml:space="preserve"> </w:t>
      </w:r>
      <w:proofErr w:type="spellStart"/>
      <w:r>
        <w:rPr>
          <w:rFonts w:eastAsia="Times New Roman"/>
        </w:rPr>
        <w:t>надз</w:t>
      </w:r>
      <w:r w:rsidR="004D056E">
        <w:rPr>
          <w:rFonts w:eastAsia="Times New Roman"/>
        </w:rPr>
        <w:t>ора</w:t>
      </w:r>
      <w:proofErr w:type="spellEnd"/>
      <w:r w:rsidR="004D056E">
        <w:rPr>
          <w:rFonts w:eastAsia="Times New Roman"/>
        </w:rPr>
        <w:t xml:space="preserve"> у </w:t>
      </w:r>
      <w:proofErr w:type="spellStart"/>
      <w:r w:rsidR="004D056E">
        <w:rPr>
          <w:rFonts w:eastAsia="Times New Roman"/>
        </w:rPr>
        <w:t>одређеним</w:t>
      </w:r>
      <w:proofErr w:type="spellEnd"/>
      <w:r w:rsidR="004D056E">
        <w:rPr>
          <w:rFonts w:eastAsia="Times New Roman"/>
        </w:rPr>
        <w:t xml:space="preserve"> </w:t>
      </w:r>
      <w:proofErr w:type="spellStart"/>
      <w:r w:rsidR="004D056E">
        <w:rPr>
          <w:rFonts w:eastAsia="Times New Roman"/>
        </w:rPr>
        <w:t>областима</w:t>
      </w:r>
      <w:proofErr w:type="spellEnd"/>
      <w:r w:rsidR="004D056E">
        <w:rPr>
          <w:rFonts w:eastAsia="Times New Roman"/>
        </w:rPr>
        <w:t xml:space="preserve"> у 2025</w:t>
      </w:r>
      <w:r>
        <w:rPr>
          <w:rFonts w:eastAsia="Times New Roman"/>
        </w:rPr>
        <w:t>. години, врши ће се на следећи начин:</w:t>
      </w:r>
    </w:p>
    <w:p w:rsidR="005F1498" w:rsidRDefault="005F1498">
      <w:pPr>
        <w:autoSpaceDE w:val="0"/>
        <w:jc w:val="both"/>
        <w:rPr>
          <w:rFonts w:eastAsia="Times New Roman"/>
        </w:rPr>
      </w:pPr>
    </w:p>
    <w:p w:rsidR="005F1498" w:rsidRDefault="005F1498">
      <w:pPr>
        <w:autoSpaceDE w:val="0"/>
        <w:jc w:val="both"/>
        <w:rPr>
          <w:rFonts w:eastAsia="Times New Roman"/>
          <w:b/>
          <w:bCs/>
        </w:rPr>
      </w:pPr>
    </w:p>
    <w:tbl>
      <w:tblPr>
        <w:tblStyle w:val="TableGrid"/>
        <w:tblW w:w="0" w:type="auto"/>
        <w:tblLayout w:type="fixed"/>
        <w:tblLook w:val="0000"/>
      </w:tblPr>
      <w:tblGrid>
        <w:gridCol w:w="3396"/>
        <w:gridCol w:w="3396"/>
        <w:gridCol w:w="3396"/>
      </w:tblGrid>
      <w:tr w:rsidR="005F1498">
        <w:tc>
          <w:tcPr>
            <w:tcW w:w="3396" w:type="dxa"/>
          </w:tcPr>
          <w:p w:rsidR="005F1498" w:rsidRDefault="00F97B92">
            <w:pPr>
              <w:autoSpaceDE w:val="0"/>
              <w:jc w:val="center"/>
              <w:rPr>
                <w:rFonts w:eastAsia="Times New Roman"/>
                <w:b/>
                <w:bCs/>
              </w:rPr>
            </w:pPr>
            <w:r>
              <w:rPr>
                <w:rFonts w:eastAsia="Times New Roman"/>
                <w:b/>
                <w:bCs/>
              </w:rPr>
              <w:t>Област</w:t>
            </w:r>
          </w:p>
        </w:tc>
        <w:tc>
          <w:tcPr>
            <w:tcW w:w="3396" w:type="dxa"/>
          </w:tcPr>
          <w:p w:rsidR="005F1498" w:rsidRDefault="00F97B92">
            <w:pPr>
              <w:autoSpaceDE w:val="0"/>
              <w:jc w:val="center"/>
              <w:rPr>
                <w:rFonts w:eastAsia="Times New Roman"/>
                <w:b/>
                <w:bCs/>
              </w:rPr>
            </w:pPr>
            <w:r>
              <w:rPr>
                <w:rFonts w:eastAsia="Times New Roman"/>
                <w:b/>
                <w:bCs/>
              </w:rPr>
              <w:t>Процењен ризик</w:t>
            </w:r>
          </w:p>
        </w:tc>
        <w:tc>
          <w:tcPr>
            <w:tcW w:w="3396" w:type="dxa"/>
          </w:tcPr>
          <w:p w:rsidR="005F1498" w:rsidRDefault="00F97B92">
            <w:pPr>
              <w:autoSpaceDE w:val="0"/>
              <w:jc w:val="center"/>
              <w:rPr>
                <w:rFonts w:eastAsia="Times New Roman"/>
                <w:b/>
                <w:bCs/>
              </w:rPr>
            </w:pPr>
            <w:r>
              <w:rPr>
                <w:rFonts w:eastAsia="Times New Roman"/>
                <w:b/>
                <w:bCs/>
              </w:rPr>
              <w:t>Број редовних надзора</w:t>
            </w:r>
          </w:p>
        </w:tc>
      </w:tr>
      <w:tr w:rsidR="005F1498">
        <w:tc>
          <w:tcPr>
            <w:tcW w:w="3396" w:type="dxa"/>
          </w:tcPr>
          <w:p w:rsidR="005F1498" w:rsidRDefault="00F97B92">
            <w:pPr>
              <w:autoSpaceDE w:val="0"/>
              <w:rPr>
                <w:rFonts w:eastAsia="Times New Roman"/>
                <w:b/>
                <w:bCs/>
              </w:rPr>
            </w:pPr>
            <w:r>
              <w:rPr>
                <w:rFonts w:eastAsia="Times New Roman"/>
                <w:b/>
                <w:bCs/>
              </w:rPr>
              <w:t>Ваздух (емисија)</w:t>
            </w:r>
          </w:p>
        </w:tc>
        <w:tc>
          <w:tcPr>
            <w:tcW w:w="3396" w:type="dxa"/>
          </w:tcPr>
          <w:p w:rsidR="005F1498" w:rsidRDefault="00F97B92">
            <w:pPr>
              <w:autoSpaceDE w:val="0"/>
              <w:jc w:val="center"/>
              <w:rPr>
                <w:rFonts w:eastAsia="Times New Roman"/>
                <w:b/>
                <w:bCs/>
              </w:rPr>
            </w:pPr>
            <w:r>
              <w:rPr>
                <w:rFonts w:eastAsia="Times New Roman"/>
                <w:b/>
                <w:bCs/>
              </w:rPr>
              <w:t>низак</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Ваздух (квалитет)</w:t>
            </w:r>
          </w:p>
        </w:tc>
        <w:tc>
          <w:tcPr>
            <w:tcW w:w="3396" w:type="dxa"/>
          </w:tcPr>
          <w:p w:rsidR="005F1498" w:rsidRDefault="00F97B92">
            <w:pPr>
              <w:autoSpaceDE w:val="0"/>
              <w:jc w:val="center"/>
              <w:rPr>
                <w:rFonts w:eastAsia="Times New Roman"/>
                <w:b/>
                <w:bCs/>
              </w:rPr>
            </w:pPr>
            <w:r>
              <w:rPr>
                <w:rFonts w:eastAsia="Times New Roman"/>
                <w:b/>
                <w:bCs/>
              </w:rPr>
              <w:t>низак</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Отпад (произвођач)</w:t>
            </w:r>
          </w:p>
        </w:tc>
        <w:tc>
          <w:tcPr>
            <w:tcW w:w="3396" w:type="dxa"/>
          </w:tcPr>
          <w:p w:rsidR="005F1498" w:rsidRDefault="00F97B92">
            <w:pPr>
              <w:autoSpaceDE w:val="0"/>
              <w:jc w:val="center"/>
              <w:rPr>
                <w:rFonts w:eastAsia="Times New Roman"/>
                <w:b/>
                <w:bCs/>
              </w:rPr>
            </w:pPr>
            <w:r>
              <w:rPr>
                <w:rFonts w:eastAsia="Times New Roman"/>
                <w:b/>
                <w:bCs/>
              </w:rPr>
              <w:t>средњи</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Отпад (оператер)</w:t>
            </w:r>
          </w:p>
        </w:tc>
        <w:tc>
          <w:tcPr>
            <w:tcW w:w="3396" w:type="dxa"/>
          </w:tcPr>
          <w:p w:rsidR="005F1498" w:rsidRDefault="00F97B92">
            <w:pPr>
              <w:autoSpaceDE w:val="0"/>
              <w:jc w:val="center"/>
              <w:rPr>
                <w:rFonts w:eastAsia="Times New Roman"/>
                <w:b/>
                <w:bCs/>
              </w:rPr>
            </w:pPr>
            <w:r>
              <w:rPr>
                <w:rFonts w:eastAsia="Times New Roman"/>
                <w:b/>
                <w:bCs/>
              </w:rPr>
              <w:t>средњи</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Бука</w:t>
            </w:r>
          </w:p>
        </w:tc>
        <w:tc>
          <w:tcPr>
            <w:tcW w:w="3396" w:type="dxa"/>
          </w:tcPr>
          <w:p w:rsidR="005F1498" w:rsidRDefault="00F97B92">
            <w:pPr>
              <w:autoSpaceDE w:val="0"/>
              <w:jc w:val="center"/>
              <w:rPr>
                <w:rFonts w:eastAsia="Times New Roman"/>
                <w:b/>
                <w:bCs/>
              </w:rPr>
            </w:pPr>
            <w:r>
              <w:rPr>
                <w:rFonts w:eastAsia="Times New Roman"/>
                <w:b/>
                <w:bCs/>
              </w:rPr>
              <w:t>низак</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Процена утицаја</w:t>
            </w:r>
          </w:p>
        </w:tc>
        <w:tc>
          <w:tcPr>
            <w:tcW w:w="3396" w:type="dxa"/>
          </w:tcPr>
          <w:p w:rsidR="005F1498" w:rsidRDefault="00F97B92">
            <w:pPr>
              <w:autoSpaceDE w:val="0"/>
              <w:jc w:val="center"/>
              <w:rPr>
                <w:rFonts w:eastAsia="Times New Roman"/>
                <w:b/>
                <w:bCs/>
              </w:rPr>
            </w:pPr>
            <w:r>
              <w:rPr>
                <w:rFonts w:eastAsia="Times New Roman"/>
                <w:b/>
                <w:bCs/>
              </w:rPr>
              <w:t>низак</w:t>
            </w:r>
          </w:p>
        </w:tc>
        <w:tc>
          <w:tcPr>
            <w:tcW w:w="3396" w:type="dxa"/>
          </w:tcPr>
          <w:p w:rsidR="005F1498" w:rsidRDefault="00F97B92">
            <w:pPr>
              <w:autoSpaceDE w:val="0"/>
              <w:jc w:val="center"/>
              <w:rPr>
                <w:rFonts w:eastAsia="Times New Roman"/>
                <w:b/>
                <w:bCs/>
              </w:rPr>
            </w:pPr>
            <w:r>
              <w:rPr>
                <w:rFonts w:eastAsia="Times New Roman"/>
                <w:b/>
                <w:bCs/>
              </w:rPr>
              <w:t>1</w:t>
            </w:r>
          </w:p>
        </w:tc>
      </w:tr>
      <w:tr w:rsidR="005F1498">
        <w:tc>
          <w:tcPr>
            <w:tcW w:w="3396" w:type="dxa"/>
          </w:tcPr>
          <w:p w:rsidR="005F1498" w:rsidRDefault="00F97B92">
            <w:pPr>
              <w:autoSpaceDE w:val="0"/>
              <w:rPr>
                <w:rFonts w:eastAsia="Times New Roman"/>
                <w:b/>
                <w:bCs/>
              </w:rPr>
            </w:pPr>
            <w:r>
              <w:rPr>
                <w:rFonts w:eastAsia="Times New Roman"/>
                <w:b/>
                <w:bCs/>
              </w:rPr>
              <w:t>Нејонизујуће зрачење</w:t>
            </w:r>
          </w:p>
        </w:tc>
        <w:tc>
          <w:tcPr>
            <w:tcW w:w="3396" w:type="dxa"/>
          </w:tcPr>
          <w:p w:rsidR="005F1498" w:rsidRDefault="00F97B92">
            <w:pPr>
              <w:autoSpaceDE w:val="0"/>
              <w:jc w:val="center"/>
              <w:rPr>
                <w:rFonts w:eastAsia="Times New Roman"/>
                <w:b/>
                <w:bCs/>
              </w:rPr>
            </w:pPr>
            <w:r>
              <w:rPr>
                <w:rFonts w:eastAsia="Times New Roman"/>
                <w:b/>
                <w:bCs/>
              </w:rPr>
              <w:t>низак</w:t>
            </w:r>
          </w:p>
        </w:tc>
        <w:tc>
          <w:tcPr>
            <w:tcW w:w="3396" w:type="dxa"/>
          </w:tcPr>
          <w:p w:rsidR="005F1498" w:rsidRDefault="00F97B92">
            <w:pPr>
              <w:autoSpaceDE w:val="0"/>
              <w:jc w:val="center"/>
              <w:rPr>
                <w:rFonts w:eastAsia="Times New Roman"/>
                <w:b/>
                <w:bCs/>
              </w:rPr>
            </w:pPr>
            <w:r>
              <w:rPr>
                <w:rFonts w:eastAsia="Times New Roman"/>
                <w:b/>
                <w:bCs/>
              </w:rPr>
              <w:t>1</w:t>
            </w:r>
          </w:p>
        </w:tc>
      </w:tr>
    </w:tbl>
    <w:p w:rsidR="005F1498" w:rsidRDefault="005F1498">
      <w:pPr>
        <w:autoSpaceDE w:val="0"/>
        <w:jc w:val="both"/>
        <w:rPr>
          <w:rFonts w:eastAsia="Times New Roman"/>
          <w:b/>
          <w:bCs/>
        </w:rPr>
      </w:pPr>
    </w:p>
    <w:p w:rsidR="005F1498" w:rsidRDefault="00F97B92">
      <w:pPr>
        <w:autoSpaceDE w:val="0"/>
        <w:jc w:val="center"/>
      </w:pPr>
      <w:r>
        <w:rPr>
          <w:b/>
          <w:bCs/>
        </w:rPr>
        <w:t>2. ТАБЕЛА РЕДОВНИХ НАДЗОРА</w:t>
      </w:r>
    </w:p>
    <w:p w:rsidR="005F1498" w:rsidRDefault="00F97B92">
      <w:pPr>
        <w:autoSpaceDE w:val="0"/>
        <w:jc w:val="both"/>
        <w:rPr>
          <w:rFonts w:eastAsia="Times New Roman"/>
          <w:b/>
          <w:bCs/>
        </w:rPr>
      </w:pPr>
      <w:r>
        <w:rPr>
          <w:rFonts w:eastAsia="Times New Roman"/>
          <w:b/>
          <w:bCs/>
        </w:rPr>
        <w:t xml:space="preserve">        </w:t>
      </w:r>
    </w:p>
    <w:tbl>
      <w:tblPr>
        <w:tblStyle w:val="TableGrid"/>
        <w:tblW w:w="0" w:type="auto"/>
        <w:tblLayout w:type="fixed"/>
        <w:tblLook w:val="0000"/>
      </w:tblPr>
      <w:tblGrid>
        <w:gridCol w:w="894"/>
        <w:gridCol w:w="2085"/>
        <w:gridCol w:w="1099"/>
        <w:gridCol w:w="947"/>
        <w:gridCol w:w="1073"/>
        <w:gridCol w:w="392"/>
        <w:gridCol w:w="369"/>
        <w:gridCol w:w="312"/>
        <w:gridCol w:w="346"/>
        <w:gridCol w:w="358"/>
        <w:gridCol w:w="357"/>
        <w:gridCol w:w="370"/>
        <w:gridCol w:w="346"/>
        <w:gridCol w:w="352"/>
        <w:gridCol w:w="345"/>
        <w:gridCol w:w="358"/>
        <w:gridCol w:w="316"/>
      </w:tblGrid>
      <w:tr w:rsidR="005F1498">
        <w:trPr>
          <w:trHeight w:val="1116"/>
        </w:trPr>
        <w:tc>
          <w:tcPr>
            <w:tcW w:w="894" w:type="dxa"/>
            <w:vAlign w:val="center"/>
          </w:tcPr>
          <w:p w:rsidR="005F1498" w:rsidRDefault="00F97B92">
            <w:pPr>
              <w:jc w:val="center"/>
            </w:pPr>
            <w:r>
              <w:rPr>
                <w:i/>
                <w:iCs/>
              </w:rPr>
              <w:t>Редни број</w:t>
            </w:r>
          </w:p>
        </w:tc>
        <w:tc>
          <w:tcPr>
            <w:tcW w:w="2085" w:type="dxa"/>
            <w:vAlign w:val="center"/>
          </w:tcPr>
          <w:p w:rsidR="005F1498" w:rsidRDefault="00F97B92">
            <w:pPr>
              <w:jc w:val="center"/>
            </w:pPr>
            <w:r>
              <w:t>Оператер</w:t>
            </w:r>
          </w:p>
        </w:tc>
        <w:tc>
          <w:tcPr>
            <w:tcW w:w="1099" w:type="dxa"/>
            <w:vAlign w:val="center"/>
          </w:tcPr>
          <w:p w:rsidR="005F1498" w:rsidRDefault="00F97B92">
            <w:pPr>
              <w:jc w:val="center"/>
            </w:pPr>
            <w:r>
              <w:t>Делат-ост</w:t>
            </w:r>
          </w:p>
        </w:tc>
        <w:tc>
          <w:tcPr>
            <w:tcW w:w="947" w:type="dxa"/>
            <w:vAlign w:val="center"/>
          </w:tcPr>
          <w:p w:rsidR="005F1498" w:rsidRDefault="00F97B92">
            <w:pPr>
              <w:jc w:val="center"/>
            </w:pPr>
            <w:r>
              <w:t>Проце-њени степен ризика</w:t>
            </w:r>
          </w:p>
        </w:tc>
        <w:tc>
          <w:tcPr>
            <w:tcW w:w="1073" w:type="dxa"/>
            <w:vAlign w:val="center"/>
          </w:tcPr>
          <w:p w:rsidR="005F1498" w:rsidRDefault="00F97B92">
            <w:pPr>
              <w:jc w:val="center"/>
            </w:pPr>
            <w:r>
              <w:t>Област надзора</w:t>
            </w:r>
          </w:p>
        </w:tc>
        <w:tc>
          <w:tcPr>
            <w:tcW w:w="4221" w:type="dxa"/>
            <w:gridSpan w:val="12"/>
            <w:vAlign w:val="center"/>
          </w:tcPr>
          <w:p w:rsidR="005F1498" w:rsidRDefault="00F97B92">
            <w:pPr>
              <w:jc w:val="center"/>
            </w:pPr>
            <w:r>
              <w:t>Време надзора по месецима</w:t>
            </w:r>
          </w:p>
          <w:p w:rsidR="005F1498" w:rsidRDefault="005F1498">
            <w:pPr>
              <w:jc w:val="center"/>
            </w:pPr>
          </w:p>
        </w:tc>
      </w:tr>
      <w:tr w:rsidR="005F1498">
        <w:tc>
          <w:tcPr>
            <w:tcW w:w="894" w:type="dxa"/>
            <w:vAlign w:val="center"/>
          </w:tcPr>
          <w:p w:rsidR="005F1498" w:rsidRDefault="005F1498">
            <w:pPr>
              <w:jc w:val="center"/>
              <w:rPr>
                <w:i/>
                <w:iCs/>
              </w:rPr>
            </w:pPr>
          </w:p>
        </w:tc>
        <w:tc>
          <w:tcPr>
            <w:tcW w:w="2085" w:type="dxa"/>
            <w:vAlign w:val="center"/>
          </w:tcPr>
          <w:p w:rsidR="005F1498" w:rsidRDefault="005F1498">
            <w:pPr>
              <w:jc w:val="center"/>
            </w:pPr>
          </w:p>
        </w:tc>
        <w:tc>
          <w:tcPr>
            <w:tcW w:w="1099" w:type="dxa"/>
            <w:vAlign w:val="center"/>
          </w:tcPr>
          <w:p w:rsidR="005F1498" w:rsidRDefault="005F1498">
            <w:pPr>
              <w:jc w:val="center"/>
            </w:pPr>
          </w:p>
        </w:tc>
        <w:tc>
          <w:tcPr>
            <w:tcW w:w="947" w:type="dxa"/>
            <w:vAlign w:val="center"/>
          </w:tcPr>
          <w:p w:rsidR="005F1498" w:rsidRDefault="005F1498">
            <w:pPr>
              <w:jc w:val="center"/>
            </w:pPr>
          </w:p>
        </w:tc>
        <w:tc>
          <w:tcPr>
            <w:tcW w:w="1073" w:type="dxa"/>
            <w:vAlign w:val="center"/>
          </w:tcPr>
          <w:p w:rsidR="005F1498" w:rsidRDefault="005F1498">
            <w:pPr>
              <w:jc w:val="center"/>
            </w:pPr>
          </w:p>
        </w:tc>
        <w:tc>
          <w:tcPr>
            <w:tcW w:w="392" w:type="dxa"/>
            <w:vAlign w:val="center"/>
          </w:tcPr>
          <w:p w:rsidR="005F1498" w:rsidRDefault="00F97B92">
            <w:pPr>
              <w:jc w:val="center"/>
            </w:pPr>
            <w:r>
              <w:t>Ј</w:t>
            </w:r>
          </w:p>
        </w:tc>
        <w:tc>
          <w:tcPr>
            <w:tcW w:w="369" w:type="dxa"/>
            <w:vAlign w:val="center"/>
          </w:tcPr>
          <w:p w:rsidR="005F1498" w:rsidRDefault="00F97B92">
            <w:pPr>
              <w:jc w:val="center"/>
            </w:pPr>
            <w:r>
              <w:t>Ф</w:t>
            </w:r>
          </w:p>
        </w:tc>
        <w:tc>
          <w:tcPr>
            <w:tcW w:w="312" w:type="dxa"/>
            <w:vAlign w:val="center"/>
          </w:tcPr>
          <w:p w:rsidR="005F1498" w:rsidRDefault="00F97B92">
            <w:pPr>
              <w:jc w:val="center"/>
            </w:pPr>
            <w:r>
              <w:t>М</w:t>
            </w:r>
          </w:p>
        </w:tc>
        <w:tc>
          <w:tcPr>
            <w:tcW w:w="346" w:type="dxa"/>
            <w:vAlign w:val="center"/>
          </w:tcPr>
          <w:p w:rsidR="005F1498" w:rsidRDefault="00F97B92">
            <w:pPr>
              <w:jc w:val="center"/>
            </w:pPr>
            <w:r>
              <w:t>А</w:t>
            </w:r>
          </w:p>
        </w:tc>
        <w:tc>
          <w:tcPr>
            <w:tcW w:w="358" w:type="dxa"/>
            <w:vAlign w:val="center"/>
          </w:tcPr>
          <w:p w:rsidR="005F1498" w:rsidRDefault="00F97B92">
            <w:pPr>
              <w:jc w:val="center"/>
            </w:pPr>
            <w:r>
              <w:t>М</w:t>
            </w:r>
          </w:p>
        </w:tc>
        <w:tc>
          <w:tcPr>
            <w:tcW w:w="357" w:type="dxa"/>
            <w:vAlign w:val="center"/>
          </w:tcPr>
          <w:p w:rsidR="005F1498" w:rsidRDefault="00F97B92">
            <w:pPr>
              <w:jc w:val="center"/>
            </w:pPr>
            <w:r>
              <w:t>Ј</w:t>
            </w:r>
          </w:p>
        </w:tc>
        <w:tc>
          <w:tcPr>
            <w:tcW w:w="370" w:type="dxa"/>
            <w:vAlign w:val="center"/>
          </w:tcPr>
          <w:p w:rsidR="005F1498" w:rsidRDefault="00F97B92">
            <w:pPr>
              <w:jc w:val="center"/>
            </w:pPr>
            <w:r>
              <w:t>Ј</w:t>
            </w:r>
          </w:p>
        </w:tc>
        <w:tc>
          <w:tcPr>
            <w:tcW w:w="346" w:type="dxa"/>
            <w:vAlign w:val="center"/>
          </w:tcPr>
          <w:p w:rsidR="005F1498" w:rsidRDefault="00F97B92">
            <w:pPr>
              <w:jc w:val="center"/>
            </w:pPr>
            <w:r>
              <w:t>А</w:t>
            </w:r>
          </w:p>
        </w:tc>
        <w:tc>
          <w:tcPr>
            <w:tcW w:w="352" w:type="dxa"/>
            <w:vAlign w:val="center"/>
          </w:tcPr>
          <w:p w:rsidR="005F1498" w:rsidRDefault="00F97B92">
            <w:pPr>
              <w:jc w:val="center"/>
            </w:pPr>
            <w:r>
              <w:t>С</w:t>
            </w:r>
          </w:p>
        </w:tc>
        <w:tc>
          <w:tcPr>
            <w:tcW w:w="345" w:type="dxa"/>
            <w:vAlign w:val="center"/>
          </w:tcPr>
          <w:p w:rsidR="005F1498" w:rsidRDefault="00F97B92">
            <w:pPr>
              <w:jc w:val="center"/>
            </w:pPr>
            <w:r>
              <w:t>О</w:t>
            </w:r>
          </w:p>
        </w:tc>
        <w:tc>
          <w:tcPr>
            <w:tcW w:w="358" w:type="dxa"/>
            <w:vAlign w:val="center"/>
          </w:tcPr>
          <w:p w:rsidR="005F1498" w:rsidRDefault="00F97B92">
            <w:pPr>
              <w:jc w:val="center"/>
            </w:pPr>
            <w:r>
              <w:t>Н</w:t>
            </w:r>
          </w:p>
        </w:tc>
        <w:tc>
          <w:tcPr>
            <w:tcW w:w="316" w:type="dxa"/>
            <w:vAlign w:val="center"/>
          </w:tcPr>
          <w:p w:rsidR="005F1498" w:rsidRDefault="00F97B92">
            <w:pPr>
              <w:jc w:val="center"/>
            </w:pPr>
            <w:r>
              <w:t>Д</w:t>
            </w:r>
          </w:p>
        </w:tc>
      </w:tr>
      <w:tr w:rsidR="005F1498">
        <w:trPr>
          <w:trHeight w:val="90"/>
        </w:trPr>
        <w:tc>
          <w:tcPr>
            <w:tcW w:w="894" w:type="dxa"/>
            <w:vAlign w:val="center"/>
          </w:tcPr>
          <w:p w:rsidR="005F1498" w:rsidRDefault="00F97B92">
            <w:pPr>
              <w:jc w:val="center"/>
            </w:pPr>
            <w:r>
              <w:t>1.</w:t>
            </w:r>
          </w:p>
        </w:tc>
        <w:tc>
          <w:tcPr>
            <w:tcW w:w="2085" w:type="dxa"/>
            <w:vAlign w:val="center"/>
          </w:tcPr>
          <w:p w:rsidR="005F1498" w:rsidRDefault="00F97B92">
            <w:pPr>
              <w:pStyle w:val="TableHeading"/>
              <w:snapToGrid w:val="0"/>
              <w:rPr>
                <w:b w:val="0"/>
                <w:bCs w:val="0"/>
                <w:i w:val="0"/>
                <w:iCs w:val="0"/>
              </w:rPr>
            </w:pPr>
            <w:r>
              <w:rPr>
                <w:rFonts w:eastAsia="Calibri" w:cs="Calibri"/>
                <w:b w:val="0"/>
                <w:bCs w:val="0"/>
                <w:i w:val="0"/>
                <w:iCs w:val="0"/>
                <w:color w:val="auto"/>
                <w:lang w:eastAsia="ar-SA"/>
              </w:rPr>
              <w:t>Топлана Вељко Влаховић, улица Војислава Чурића бб</w:t>
            </w:r>
          </w:p>
        </w:tc>
        <w:tc>
          <w:tcPr>
            <w:tcW w:w="1099" w:type="dxa"/>
            <w:vAlign w:val="center"/>
          </w:tcPr>
          <w:p w:rsidR="005F1498" w:rsidRDefault="00F97B92">
            <w:pPr>
              <w:jc w:val="center"/>
            </w:pPr>
            <w:r>
              <w:t>Комуна-лна грејањe</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F97B92">
            <w:pPr>
              <w:jc w:val="center"/>
            </w:pPr>
            <w:r>
              <w:t>х</w:t>
            </w: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p w:rsidR="005F1498" w:rsidRDefault="005F1498">
            <w:pPr>
              <w:jc w:val="center"/>
            </w:pPr>
          </w:p>
          <w:p w:rsidR="005F1498" w:rsidRDefault="005F1498">
            <w:pPr>
              <w:jc w:val="center"/>
            </w:pPr>
          </w:p>
          <w:p w:rsidR="005F1498" w:rsidRDefault="005F1498">
            <w:pPr>
              <w:jc w:val="center"/>
            </w:pPr>
          </w:p>
          <w:p w:rsidR="005F1498" w:rsidRDefault="005F1498">
            <w:pPr>
              <w:jc w:val="center"/>
            </w:pPr>
          </w:p>
        </w:tc>
      </w:tr>
      <w:tr w:rsidR="005F1498">
        <w:tc>
          <w:tcPr>
            <w:tcW w:w="894" w:type="dxa"/>
            <w:vAlign w:val="center"/>
          </w:tcPr>
          <w:p w:rsidR="005F1498" w:rsidRDefault="00F97B92">
            <w:pPr>
              <w:jc w:val="center"/>
            </w:pPr>
            <w:r>
              <w:t>2.</w:t>
            </w:r>
          </w:p>
        </w:tc>
        <w:tc>
          <w:tcPr>
            <w:tcW w:w="2085" w:type="dxa"/>
            <w:vAlign w:val="center"/>
          </w:tcPr>
          <w:p w:rsidR="005F1498" w:rsidRDefault="00F97B92">
            <w:pPr>
              <w:pStyle w:val="TableHeading"/>
              <w:snapToGrid w:val="0"/>
              <w:rPr>
                <w:rFonts w:eastAsia="Calibri" w:cs="Calibri"/>
                <w:b w:val="0"/>
                <w:bCs w:val="0"/>
                <w:i w:val="0"/>
                <w:iCs w:val="0"/>
                <w:color w:val="auto"/>
                <w:lang w:eastAsia="ar-SA"/>
              </w:rPr>
            </w:pPr>
            <w:r>
              <w:rPr>
                <w:rFonts w:eastAsia="Calibri" w:cs="Calibri"/>
                <w:b w:val="0"/>
                <w:bCs w:val="0"/>
                <w:i w:val="0"/>
                <w:iCs w:val="0"/>
                <w:color w:val="auto"/>
                <w:lang w:eastAsia="ar-SA"/>
              </w:rPr>
              <w:t>Котларница ЈНА, улица ЈНА бр. 2</w:t>
            </w:r>
          </w:p>
        </w:tc>
        <w:tc>
          <w:tcPr>
            <w:tcW w:w="1099" w:type="dxa"/>
            <w:vAlign w:val="center"/>
          </w:tcPr>
          <w:p w:rsidR="005F1498" w:rsidRDefault="00F97B92">
            <w:pPr>
              <w:jc w:val="center"/>
            </w:pPr>
            <w:r>
              <w:t>Комуна-лна грејањe</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5F1498">
            <w:pPr>
              <w:jc w:val="center"/>
            </w:pPr>
          </w:p>
        </w:tc>
        <w:tc>
          <w:tcPr>
            <w:tcW w:w="369" w:type="dxa"/>
            <w:vAlign w:val="center"/>
          </w:tcPr>
          <w:p w:rsidR="005F1498" w:rsidRDefault="00F97B92">
            <w:pPr>
              <w:jc w:val="center"/>
            </w:pPr>
            <w:r>
              <w:t>х</w:t>
            </w: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3.</w:t>
            </w:r>
          </w:p>
        </w:tc>
        <w:tc>
          <w:tcPr>
            <w:tcW w:w="2085" w:type="dxa"/>
            <w:vAlign w:val="center"/>
          </w:tcPr>
          <w:p w:rsidR="005F1498" w:rsidRDefault="00F97B92">
            <w:pPr>
              <w:pStyle w:val="TableHeading"/>
              <w:snapToGrid w:val="0"/>
              <w:rPr>
                <w:rFonts w:eastAsia="Calibri" w:cs="Calibri"/>
                <w:b w:val="0"/>
                <w:bCs w:val="0"/>
                <w:i w:val="0"/>
                <w:iCs w:val="0"/>
                <w:color w:val="auto"/>
                <w:lang w:eastAsia="ar-SA"/>
              </w:rPr>
            </w:pPr>
            <w:r>
              <w:rPr>
                <w:rFonts w:eastAsia="Calibri" w:cs="Calibri"/>
                <w:b w:val="0"/>
                <w:bCs w:val="0"/>
                <w:i w:val="0"/>
                <w:iCs w:val="0"/>
                <w:color w:val="auto"/>
                <w:lang w:eastAsia="ar-SA"/>
              </w:rPr>
              <w:t xml:space="preserve">Котларница </w:t>
            </w:r>
            <w:r>
              <w:rPr>
                <w:rFonts w:cs="Calibri"/>
                <w:b w:val="0"/>
                <w:bCs w:val="0"/>
                <w:i w:val="0"/>
                <w:iCs w:val="0"/>
                <w:color w:val="auto"/>
                <w:lang w:eastAsia="ar-SA"/>
              </w:rPr>
              <w:t>на</w:t>
            </w:r>
            <w:r>
              <w:rPr>
                <w:rFonts w:eastAsia="Calibri" w:cs="Calibri"/>
                <w:b w:val="0"/>
                <w:bCs w:val="0"/>
                <w:i w:val="0"/>
                <w:iCs w:val="0"/>
                <w:color w:val="auto"/>
                <w:lang w:eastAsia="ar-SA"/>
              </w:rPr>
              <w:t xml:space="preserve"> Трг</w:t>
            </w:r>
            <w:r>
              <w:rPr>
                <w:rFonts w:cs="Calibri"/>
                <w:b w:val="0"/>
                <w:bCs w:val="0"/>
                <w:i w:val="0"/>
                <w:iCs w:val="0"/>
                <w:color w:val="auto"/>
                <w:lang w:eastAsia="ar-SA"/>
              </w:rPr>
              <w:t>у</w:t>
            </w:r>
            <w:r>
              <w:rPr>
                <w:rFonts w:eastAsia="Calibri" w:cs="Calibri"/>
                <w:b w:val="0"/>
                <w:bCs w:val="0"/>
                <w:i w:val="0"/>
                <w:iCs w:val="0"/>
                <w:color w:val="auto"/>
                <w:lang w:eastAsia="ar-SA"/>
              </w:rPr>
              <w:t xml:space="preserve"> Ђорђа Станојевића 9/2</w:t>
            </w:r>
          </w:p>
        </w:tc>
        <w:tc>
          <w:tcPr>
            <w:tcW w:w="1099" w:type="dxa"/>
            <w:vAlign w:val="center"/>
          </w:tcPr>
          <w:p w:rsidR="005F1498" w:rsidRDefault="00F97B92">
            <w:pPr>
              <w:jc w:val="center"/>
            </w:pPr>
            <w:r>
              <w:t>Комуна-лна грејањe</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F97B92">
            <w:pPr>
              <w:jc w:val="center"/>
            </w:pPr>
            <w:r>
              <w:t>х</w:t>
            </w: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4.</w:t>
            </w:r>
          </w:p>
        </w:tc>
        <w:tc>
          <w:tcPr>
            <w:tcW w:w="2085" w:type="dxa"/>
            <w:vAlign w:val="center"/>
          </w:tcPr>
          <w:p w:rsidR="005F1498" w:rsidRDefault="00F97B92">
            <w:pPr>
              <w:pStyle w:val="TableHeading"/>
              <w:snapToGrid w:val="0"/>
              <w:rPr>
                <w:rFonts w:eastAsia="Calibri" w:cs="Calibri"/>
                <w:b w:val="0"/>
                <w:bCs w:val="0"/>
                <w:i w:val="0"/>
                <w:iCs w:val="0"/>
                <w:color w:val="auto"/>
                <w:lang w:eastAsia="ar-SA"/>
              </w:rPr>
            </w:pPr>
            <w:r>
              <w:rPr>
                <w:rFonts w:eastAsia="Calibri" w:cs="Calibri"/>
                <w:b w:val="0"/>
                <w:bCs w:val="0"/>
                <w:i w:val="0"/>
                <w:iCs w:val="0"/>
                <w:color w:val="auto"/>
                <w:lang w:eastAsia="ar-SA"/>
              </w:rPr>
              <w:t>Котларница ОШ Бранко Радичевић, улица Растока бб</w:t>
            </w:r>
          </w:p>
        </w:tc>
        <w:tc>
          <w:tcPr>
            <w:tcW w:w="1099" w:type="dxa"/>
            <w:vAlign w:val="center"/>
          </w:tcPr>
          <w:p w:rsidR="005F1498" w:rsidRDefault="00F97B92">
            <w:pPr>
              <w:jc w:val="center"/>
            </w:pPr>
            <w:r>
              <w:t>Комуна-лна грејањe</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F97B92">
            <w:pPr>
              <w:jc w:val="center"/>
            </w:pPr>
            <w:r>
              <w:t>х</w:t>
            </w: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5.</w:t>
            </w:r>
          </w:p>
        </w:tc>
        <w:tc>
          <w:tcPr>
            <w:tcW w:w="2085" w:type="dxa"/>
            <w:vAlign w:val="center"/>
          </w:tcPr>
          <w:p w:rsidR="005F1498" w:rsidRDefault="00F97B92">
            <w:pPr>
              <w:pStyle w:val="TableHeading"/>
              <w:snapToGrid w:val="0"/>
              <w:rPr>
                <w:rFonts w:eastAsia="Calibri" w:cs="Calibri"/>
                <w:b w:val="0"/>
                <w:bCs w:val="0"/>
                <w:i w:val="0"/>
                <w:iCs w:val="0"/>
                <w:color w:val="auto"/>
                <w:lang w:eastAsia="ar-SA"/>
              </w:rPr>
            </w:pPr>
            <w:r>
              <w:rPr>
                <w:rFonts w:eastAsia="Calibri" w:cs="Calibri"/>
                <w:b w:val="0"/>
                <w:bCs w:val="0"/>
                <w:i w:val="0"/>
                <w:iCs w:val="0"/>
                <w:color w:val="auto"/>
                <w:lang w:eastAsia="ar-SA"/>
              </w:rPr>
              <w:t>Котларница Борска, Насеље Борска бб</w:t>
            </w:r>
          </w:p>
        </w:tc>
        <w:tc>
          <w:tcPr>
            <w:tcW w:w="1099" w:type="dxa"/>
            <w:vAlign w:val="center"/>
          </w:tcPr>
          <w:p w:rsidR="005F1498" w:rsidRDefault="00F97B92">
            <w:pPr>
              <w:jc w:val="center"/>
            </w:pPr>
            <w:r>
              <w:t>Комуна-лна грејањe</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F97B92">
            <w:pPr>
              <w:jc w:val="center"/>
            </w:pPr>
            <w:r>
              <w:t>x</w:t>
            </w:r>
          </w:p>
        </w:tc>
      </w:tr>
      <w:tr w:rsidR="005F1498">
        <w:tc>
          <w:tcPr>
            <w:tcW w:w="894" w:type="dxa"/>
            <w:vAlign w:val="center"/>
          </w:tcPr>
          <w:p w:rsidR="005F1498" w:rsidRDefault="00F97B92">
            <w:pPr>
              <w:jc w:val="center"/>
            </w:pPr>
            <w:r>
              <w:t>6.</w:t>
            </w:r>
          </w:p>
        </w:tc>
        <w:tc>
          <w:tcPr>
            <w:tcW w:w="2085" w:type="dxa"/>
            <w:vAlign w:val="center"/>
          </w:tcPr>
          <w:p w:rsidR="005F1498" w:rsidRDefault="00F97B92">
            <w:pPr>
              <w:pStyle w:val="TableHeading"/>
              <w:snapToGrid w:val="0"/>
              <w:rPr>
                <w:b w:val="0"/>
                <w:bCs w:val="0"/>
                <w:i w:val="0"/>
                <w:iCs w:val="0"/>
              </w:rPr>
            </w:pPr>
            <w:r>
              <w:rPr>
                <w:b w:val="0"/>
                <w:bCs w:val="0"/>
                <w:i w:val="0"/>
                <w:iCs w:val="0"/>
              </w:rPr>
              <w:t>Здравствени центар</w:t>
            </w:r>
          </w:p>
        </w:tc>
        <w:tc>
          <w:tcPr>
            <w:tcW w:w="1099" w:type="dxa"/>
            <w:vAlign w:val="center"/>
          </w:tcPr>
          <w:p w:rsidR="005F1498" w:rsidRDefault="00F97B92">
            <w:pPr>
              <w:jc w:val="center"/>
            </w:pPr>
            <w:r>
              <w:t>Здравс-твена</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Ваздух</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F97B92">
            <w:pPr>
              <w:jc w:val="center"/>
            </w:pPr>
            <w:r>
              <w:t>х</w:t>
            </w:r>
          </w:p>
        </w:tc>
      </w:tr>
      <w:tr w:rsidR="005F1498">
        <w:trPr>
          <w:trHeight w:val="1392"/>
        </w:trPr>
        <w:tc>
          <w:tcPr>
            <w:tcW w:w="894" w:type="dxa"/>
            <w:vAlign w:val="center"/>
          </w:tcPr>
          <w:p w:rsidR="005F1498" w:rsidRDefault="00F97B92">
            <w:pPr>
              <w:jc w:val="center"/>
            </w:pPr>
            <w:r>
              <w:t>7.</w:t>
            </w:r>
          </w:p>
        </w:tc>
        <w:tc>
          <w:tcPr>
            <w:tcW w:w="2085" w:type="dxa"/>
            <w:vAlign w:val="center"/>
          </w:tcPr>
          <w:p w:rsidR="005F1498" w:rsidRDefault="00F97B92">
            <w:pPr>
              <w:pStyle w:val="TableContents"/>
              <w:snapToGrid w:val="0"/>
              <w:jc w:val="center"/>
            </w:pPr>
            <w:r>
              <w:t>Спајић доо Неготин</w:t>
            </w:r>
          </w:p>
        </w:tc>
        <w:tc>
          <w:tcPr>
            <w:tcW w:w="1099" w:type="dxa"/>
            <w:vAlign w:val="center"/>
          </w:tcPr>
          <w:p w:rsidR="005F1498" w:rsidRDefault="00F97B92">
            <w:pPr>
              <w:jc w:val="center"/>
            </w:pPr>
            <w:r>
              <w:t xml:space="preserve">Произв-одња челичн-их влакана </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Отпад</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F97B92">
            <w:pPr>
              <w:jc w:val="center"/>
            </w:pPr>
            <w:r>
              <w:t>х</w:t>
            </w: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8.</w:t>
            </w:r>
          </w:p>
        </w:tc>
        <w:tc>
          <w:tcPr>
            <w:tcW w:w="2085" w:type="dxa"/>
            <w:vAlign w:val="center"/>
          </w:tcPr>
          <w:p w:rsidR="005F1498" w:rsidRDefault="00F97B92">
            <w:pPr>
              <w:pStyle w:val="TableContents"/>
              <w:snapToGrid w:val="0"/>
              <w:jc w:val="center"/>
            </w:pPr>
            <w:r>
              <w:t>“Веселинов” Неготин</w:t>
            </w:r>
          </w:p>
        </w:tc>
        <w:tc>
          <w:tcPr>
            <w:tcW w:w="1099" w:type="dxa"/>
            <w:vAlign w:val="center"/>
          </w:tcPr>
          <w:p w:rsidR="005F1498" w:rsidRDefault="00F97B92">
            <w:pPr>
              <w:jc w:val="center"/>
            </w:pPr>
            <w:r>
              <w:t>Склади-штење отпада</w:t>
            </w:r>
          </w:p>
        </w:tc>
        <w:tc>
          <w:tcPr>
            <w:tcW w:w="947" w:type="dxa"/>
            <w:vAlign w:val="center"/>
          </w:tcPr>
          <w:p w:rsidR="005F1498" w:rsidRDefault="00F97B92">
            <w:pPr>
              <w:jc w:val="center"/>
              <w:rPr>
                <w:sz w:val="20"/>
                <w:szCs w:val="20"/>
              </w:rPr>
            </w:pPr>
            <w:r>
              <w:rPr>
                <w:sz w:val="20"/>
                <w:szCs w:val="20"/>
              </w:rPr>
              <w:t>Средњи</w:t>
            </w:r>
          </w:p>
        </w:tc>
        <w:tc>
          <w:tcPr>
            <w:tcW w:w="1073" w:type="dxa"/>
            <w:vAlign w:val="center"/>
          </w:tcPr>
          <w:p w:rsidR="005F1498" w:rsidRDefault="00F97B92">
            <w:pPr>
              <w:jc w:val="center"/>
            </w:pPr>
            <w:r>
              <w:t>Отпад</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F97B92">
            <w:pPr>
              <w:jc w:val="center"/>
            </w:pPr>
            <w:r>
              <w:t>х</w:t>
            </w: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9.</w:t>
            </w:r>
          </w:p>
        </w:tc>
        <w:tc>
          <w:tcPr>
            <w:tcW w:w="2085" w:type="dxa"/>
            <w:vAlign w:val="center"/>
          </w:tcPr>
          <w:p w:rsidR="005F1498" w:rsidRDefault="00F97B92">
            <w:pPr>
              <w:pStyle w:val="TableContents"/>
              <w:snapToGrid w:val="0"/>
              <w:jc w:val="center"/>
            </w:pPr>
            <w:r>
              <w:t>Макси Метали ПР Тасић Иван</w:t>
            </w:r>
          </w:p>
        </w:tc>
        <w:tc>
          <w:tcPr>
            <w:tcW w:w="1099" w:type="dxa"/>
            <w:vAlign w:val="center"/>
          </w:tcPr>
          <w:p w:rsidR="005F1498" w:rsidRDefault="00F97B92">
            <w:pPr>
              <w:jc w:val="center"/>
            </w:pPr>
            <w:r>
              <w:t>Склади-штење отпада</w:t>
            </w:r>
          </w:p>
        </w:tc>
        <w:tc>
          <w:tcPr>
            <w:tcW w:w="947" w:type="dxa"/>
            <w:vAlign w:val="center"/>
          </w:tcPr>
          <w:p w:rsidR="005F1498" w:rsidRDefault="00F97B92">
            <w:pPr>
              <w:jc w:val="center"/>
            </w:pPr>
            <w:r>
              <w:rPr>
                <w:sz w:val="20"/>
                <w:szCs w:val="20"/>
              </w:rPr>
              <w:t>Средњи</w:t>
            </w:r>
          </w:p>
        </w:tc>
        <w:tc>
          <w:tcPr>
            <w:tcW w:w="1073" w:type="dxa"/>
            <w:vAlign w:val="center"/>
          </w:tcPr>
          <w:p w:rsidR="005F1498" w:rsidRDefault="00F97B92">
            <w:pPr>
              <w:jc w:val="center"/>
            </w:pPr>
            <w:r>
              <w:t>Отпад</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F97B92">
            <w:pPr>
              <w:jc w:val="center"/>
            </w:pPr>
            <w:r>
              <w:t>х</w:t>
            </w: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10.</w:t>
            </w:r>
          </w:p>
        </w:tc>
        <w:tc>
          <w:tcPr>
            <w:tcW w:w="2085" w:type="dxa"/>
            <w:vAlign w:val="center"/>
          </w:tcPr>
          <w:p w:rsidR="003506C4" w:rsidRPr="003506C4" w:rsidRDefault="003506C4" w:rsidP="003506C4">
            <w:pPr>
              <w:pStyle w:val="TableContents"/>
              <w:snapToGrid w:val="0"/>
              <w:jc w:val="left"/>
            </w:pPr>
          </w:p>
          <w:p w:rsidR="003506C4" w:rsidRDefault="003506C4">
            <w:pPr>
              <w:pStyle w:val="TableContents"/>
              <w:snapToGrid w:val="0"/>
              <w:jc w:val="center"/>
            </w:pPr>
          </w:p>
          <w:p w:rsidR="005F1498" w:rsidRPr="003506C4" w:rsidRDefault="003506C4">
            <w:pPr>
              <w:pStyle w:val="TableContents"/>
              <w:snapToGrid w:val="0"/>
              <w:jc w:val="center"/>
            </w:pPr>
            <w:r>
              <w:t>Елик</w:t>
            </w:r>
            <w:r w:rsidR="008473DC">
              <w:t>сир Прахово- Еко лагер</w:t>
            </w:r>
          </w:p>
        </w:tc>
        <w:tc>
          <w:tcPr>
            <w:tcW w:w="1099" w:type="dxa"/>
            <w:vAlign w:val="center"/>
          </w:tcPr>
          <w:p w:rsidR="005F1498" w:rsidRDefault="003506C4" w:rsidP="003506C4">
            <w:pPr>
              <w:jc w:val="center"/>
            </w:pPr>
            <w:r w:rsidRPr="003506C4">
              <w:t>Хем. индустрија</w:t>
            </w:r>
          </w:p>
        </w:tc>
        <w:tc>
          <w:tcPr>
            <w:tcW w:w="947" w:type="dxa"/>
            <w:vAlign w:val="center"/>
          </w:tcPr>
          <w:p w:rsidR="005F1498" w:rsidRPr="003506C4" w:rsidRDefault="003506C4">
            <w:pPr>
              <w:jc w:val="center"/>
              <w:rPr>
                <w:sz w:val="20"/>
                <w:szCs w:val="20"/>
              </w:rPr>
            </w:pPr>
            <w:r w:rsidRPr="003506C4">
              <w:rPr>
                <w:sz w:val="20"/>
                <w:szCs w:val="20"/>
              </w:rPr>
              <w:t>Средњи</w:t>
            </w:r>
          </w:p>
        </w:tc>
        <w:tc>
          <w:tcPr>
            <w:tcW w:w="1073" w:type="dxa"/>
            <w:vAlign w:val="center"/>
          </w:tcPr>
          <w:p w:rsidR="005F1498" w:rsidRPr="003506C4" w:rsidRDefault="003506C4" w:rsidP="003506C4">
            <w:pPr>
              <w:jc w:val="left"/>
            </w:pPr>
            <w:r>
              <w:t>Отпад</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Pr="003506C4" w:rsidRDefault="005F1498">
            <w:pPr>
              <w:jc w:val="center"/>
            </w:pPr>
          </w:p>
        </w:tc>
        <w:tc>
          <w:tcPr>
            <w:tcW w:w="352" w:type="dxa"/>
            <w:vAlign w:val="center"/>
          </w:tcPr>
          <w:p w:rsidR="005F1498" w:rsidRPr="003506C4" w:rsidRDefault="005F1498">
            <w:pPr>
              <w:jc w:val="center"/>
            </w:pPr>
          </w:p>
        </w:tc>
        <w:tc>
          <w:tcPr>
            <w:tcW w:w="345" w:type="dxa"/>
            <w:vAlign w:val="center"/>
          </w:tcPr>
          <w:p w:rsidR="005F1498" w:rsidRPr="003506C4" w:rsidRDefault="003506C4">
            <w:pPr>
              <w:jc w:val="center"/>
            </w:pPr>
            <w:r>
              <w:t>x</w:t>
            </w:r>
          </w:p>
        </w:tc>
        <w:tc>
          <w:tcPr>
            <w:tcW w:w="358" w:type="dxa"/>
            <w:vAlign w:val="center"/>
          </w:tcPr>
          <w:p w:rsidR="005F1498" w:rsidRDefault="005F1498">
            <w:pPr>
              <w:jc w:val="center"/>
            </w:pPr>
          </w:p>
        </w:tc>
        <w:tc>
          <w:tcPr>
            <w:tcW w:w="316" w:type="dxa"/>
            <w:vAlign w:val="center"/>
          </w:tcPr>
          <w:p w:rsidR="005F1498" w:rsidRDefault="005F1498">
            <w:pPr>
              <w:jc w:val="center"/>
            </w:pPr>
          </w:p>
        </w:tc>
      </w:tr>
      <w:tr w:rsidR="00A14A3A">
        <w:tc>
          <w:tcPr>
            <w:tcW w:w="894" w:type="dxa"/>
            <w:vAlign w:val="center"/>
          </w:tcPr>
          <w:p w:rsidR="00A14A3A" w:rsidRDefault="00A14A3A">
            <w:pPr>
              <w:jc w:val="center"/>
            </w:pPr>
            <w:r>
              <w:t>11.</w:t>
            </w:r>
          </w:p>
        </w:tc>
        <w:tc>
          <w:tcPr>
            <w:tcW w:w="2085" w:type="dxa"/>
            <w:vAlign w:val="center"/>
          </w:tcPr>
          <w:p w:rsidR="00A14A3A" w:rsidRPr="003506C4" w:rsidRDefault="00A14A3A" w:rsidP="003506C4">
            <w:pPr>
              <w:pStyle w:val="TableContents"/>
              <w:snapToGrid w:val="0"/>
            </w:pPr>
            <w:r>
              <w:t>НИС Нови Сад ад БС Пикијева бб</w:t>
            </w:r>
          </w:p>
        </w:tc>
        <w:tc>
          <w:tcPr>
            <w:tcW w:w="1099" w:type="dxa"/>
            <w:vAlign w:val="center"/>
          </w:tcPr>
          <w:p w:rsidR="00A14A3A" w:rsidRPr="003506C4" w:rsidRDefault="00A14A3A" w:rsidP="003506C4">
            <w:pPr>
              <w:jc w:val="center"/>
            </w:pPr>
            <w:r>
              <w:t>Продаја горива</w:t>
            </w:r>
          </w:p>
        </w:tc>
        <w:tc>
          <w:tcPr>
            <w:tcW w:w="947" w:type="dxa"/>
            <w:vAlign w:val="center"/>
          </w:tcPr>
          <w:p w:rsidR="00A14A3A" w:rsidRPr="003506C4" w:rsidRDefault="00A14A3A">
            <w:pPr>
              <w:jc w:val="center"/>
              <w:rPr>
                <w:sz w:val="20"/>
                <w:szCs w:val="20"/>
              </w:rPr>
            </w:pPr>
            <w:r>
              <w:rPr>
                <w:sz w:val="20"/>
                <w:szCs w:val="20"/>
              </w:rPr>
              <w:t>Низак</w:t>
            </w:r>
          </w:p>
        </w:tc>
        <w:tc>
          <w:tcPr>
            <w:tcW w:w="1073" w:type="dxa"/>
            <w:vAlign w:val="center"/>
          </w:tcPr>
          <w:p w:rsidR="00A14A3A" w:rsidRPr="007738DA" w:rsidRDefault="00A14A3A" w:rsidP="003506C4">
            <w:pPr>
              <w:rPr>
                <w:sz w:val="22"/>
                <w:szCs w:val="22"/>
              </w:rPr>
            </w:pPr>
            <w:r w:rsidRPr="007738DA">
              <w:rPr>
                <w:sz w:val="22"/>
                <w:szCs w:val="22"/>
              </w:rPr>
              <w:t>Процена утицаја</w:t>
            </w:r>
          </w:p>
        </w:tc>
        <w:tc>
          <w:tcPr>
            <w:tcW w:w="392" w:type="dxa"/>
            <w:vAlign w:val="center"/>
          </w:tcPr>
          <w:p w:rsidR="00A14A3A" w:rsidRDefault="00A14A3A">
            <w:pPr>
              <w:jc w:val="center"/>
            </w:pPr>
          </w:p>
        </w:tc>
        <w:tc>
          <w:tcPr>
            <w:tcW w:w="369" w:type="dxa"/>
            <w:vAlign w:val="center"/>
          </w:tcPr>
          <w:p w:rsidR="00A14A3A" w:rsidRDefault="00A14A3A">
            <w:pPr>
              <w:jc w:val="center"/>
            </w:pPr>
          </w:p>
        </w:tc>
        <w:tc>
          <w:tcPr>
            <w:tcW w:w="312" w:type="dxa"/>
            <w:vAlign w:val="center"/>
          </w:tcPr>
          <w:p w:rsidR="00A14A3A" w:rsidRDefault="00A14A3A">
            <w:pPr>
              <w:jc w:val="center"/>
            </w:pPr>
          </w:p>
        </w:tc>
        <w:tc>
          <w:tcPr>
            <w:tcW w:w="346" w:type="dxa"/>
            <w:vAlign w:val="center"/>
          </w:tcPr>
          <w:p w:rsidR="00A14A3A" w:rsidRDefault="00A14A3A">
            <w:pPr>
              <w:jc w:val="center"/>
            </w:pPr>
          </w:p>
        </w:tc>
        <w:tc>
          <w:tcPr>
            <w:tcW w:w="358" w:type="dxa"/>
            <w:vAlign w:val="center"/>
          </w:tcPr>
          <w:p w:rsidR="00A14A3A" w:rsidRDefault="00A14A3A">
            <w:pPr>
              <w:jc w:val="center"/>
            </w:pPr>
          </w:p>
        </w:tc>
        <w:tc>
          <w:tcPr>
            <w:tcW w:w="357" w:type="dxa"/>
            <w:vAlign w:val="center"/>
          </w:tcPr>
          <w:p w:rsidR="00A14A3A" w:rsidRDefault="00A14A3A">
            <w:pPr>
              <w:jc w:val="center"/>
            </w:pPr>
          </w:p>
        </w:tc>
        <w:tc>
          <w:tcPr>
            <w:tcW w:w="370" w:type="dxa"/>
            <w:vAlign w:val="center"/>
          </w:tcPr>
          <w:p w:rsidR="00A14A3A" w:rsidRDefault="00A14A3A">
            <w:pPr>
              <w:jc w:val="center"/>
            </w:pPr>
            <w:r>
              <w:t>х</w:t>
            </w:r>
          </w:p>
        </w:tc>
        <w:tc>
          <w:tcPr>
            <w:tcW w:w="346" w:type="dxa"/>
            <w:vAlign w:val="center"/>
          </w:tcPr>
          <w:p w:rsidR="00A14A3A" w:rsidRPr="003506C4" w:rsidRDefault="00A14A3A">
            <w:pPr>
              <w:jc w:val="center"/>
            </w:pPr>
          </w:p>
        </w:tc>
        <w:tc>
          <w:tcPr>
            <w:tcW w:w="352" w:type="dxa"/>
            <w:vAlign w:val="center"/>
          </w:tcPr>
          <w:p w:rsidR="00A14A3A" w:rsidRPr="003506C4" w:rsidRDefault="00A14A3A">
            <w:pPr>
              <w:jc w:val="center"/>
            </w:pPr>
          </w:p>
        </w:tc>
        <w:tc>
          <w:tcPr>
            <w:tcW w:w="345" w:type="dxa"/>
            <w:vAlign w:val="center"/>
          </w:tcPr>
          <w:p w:rsidR="00A14A3A" w:rsidRDefault="00A14A3A">
            <w:pPr>
              <w:jc w:val="center"/>
            </w:pPr>
          </w:p>
        </w:tc>
        <w:tc>
          <w:tcPr>
            <w:tcW w:w="358" w:type="dxa"/>
            <w:vAlign w:val="center"/>
          </w:tcPr>
          <w:p w:rsidR="00A14A3A" w:rsidRDefault="00A14A3A">
            <w:pPr>
              <w:jc w:val="center"/>
            </w:pPr>
          </w:p>
        </w:tc>
        <w:tc>
          <w:tcPr>
            <w:tcW w:w="316" w:type="dxa"/>
            <w:vAlign w:val="center"/>
          </w:tcPr>
          <w:p w:rsidR="00A14A3A" w:rsidRDefault="00A14A3A">
            <w:pPr>
              <w:jc w:val="center"/>
            </w:pPr>
          </w:p>
        </w:tc>
      </w:tr>
      <w:tr w:rsidR="005F1498">
        <w:trPr>
          <w:trHeight w:val="1509"/>
        </w:trPr>
        <w:tc>
          <w:tcPr>
            <w:tcW w:w="894" w:type="dxa"/>
            <w:vAlign w:val="center"/>
          </w:tcPr>
          <w:p w:rsidR="005F1498" w:rsidRDefault="00F97B92">
            <w:pPr>
              <w:jc w:val="center"/>
            </w:pPr>
            <w:r>
              <w:t>1</w:t>
            </w:r>
            <w:r w:rsidR="00A14A3A">
              <w:t>2</w:t>
            </w:r>
            <w:r>
              <w:t>.</w:t>
            </w:r>
          </w:p>
        </w:tc>
        <w:tc>
          <w:tcPr>
            <w:tcW w:w="2085" w:type="dxa"/>
            <w:vAlign w:val="center"/>
          </w:tcPr>
          <w:p w:rsidR="005F1498" w:rsidRPr="003506C4" w:rsidRDefault="005F1498" w:rsidP="003506C4">
            <w:pPr>
              <w:pStyle w:val="TableContents"/>
              <w:snapToGrid w:val="0"/>
              <w:jc w:val="left"/>
            </w:pPr>
          </w:p>
          <w:p w:rsidR="003506C4" w:rsidRPr="003506C4" w:rsidRDefault="003506C4" w:rsidP="003506C4">
            <w:pPr>
              <w:pStyle w:val="TableContents"/>
              <w:snapToGrid w:val="0"/>
              <w:jc w:val="center"/>
            </w:pPr>
            <w:r>
              <w:t>Стоваришта у меш. зони и занатске радње</w:t>
            </w:r>
            <w:r w:rsidRPr="003506C4">
              <w:t>- 3 ком.</w:t>
            </w:r>
          </w:p>
        </w:tc>
        <w:tc>
          <w:tcPr>
            <w:tcW w:w="1099" w:type="dxa"/>
            <w:vAlign w:val="center"/>
          </w:tcPr>
          <w:p w:rsidR="005F1498" w:rsidRDefault="003506C4">
            <w:pPr>
              <w:jc w:val="center"/>
            </w:pPr>
            <w:r>
              <w:t>Склаиш-тење отпада</w:t>
            </w:r>
          </w:p>
        </w:tc>
        <w:tc>
          <w:tcPr>
            <w:tcW w:w="947" w:type="dxa"/>
            <w:vAlign w:val="center"/>
          </w:tcPr>
          <w:p w:rsidR="005F1498" w:rsidRDefault="00F97B92">
            <w:pPr>
              <w:jc w:val="center"/>
            </w:pPr>
            <w:r>
              <w:t>Низак</w:t>
            </w:r>
          </w:p>
        </w:tc>
        <w:tc>
          <w:tcPr>
            <w:tcW w:w="1073" w:type="dxa"/>
            <w:vAlign w:val="center"/>
          </w:tcPr>
          <w:p w:rsidR="005F1498" w:rsidRDefault="003506C4">
            <w:pPr>
              <w:jc w:val="center"/>
            </w:pPr>
            <w:r>
              <w:rPr>
                <w:sz w:val="20"/>
                <w:szCs w:val="20"/>
              </w:rPr>
              <w:t>Бука</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Pr="003506C4" w:rsidRDefault="003506C4">
            <w:pPr>
              <w:jc w:val="center"/>
            </w:pPr>
            <w:r>
              <w:t>x</w:t>
            </w: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Pr="003506C4" w:rsidRDefault="003506C4">
            <w:pPr>
              <w:jc w:val="center"/>
            </w:pPr>
            <w:r>
              <w:t>x</w:t>
            </w:r>
          </w:p>
        </w:tc>
        <w:tc>
          <w:tcPr>
            <w:tcW w:w="352" w:type="dxa"/>
            <w:vAlign w:val="center"/>
          </w:tcPr>
          <w:p w:rsidR="005F1498" w:rsidRPr="003506C4" w:rsidRDefault="003506C4">
            <w:pPr>
              <w:jc w:val="center"/>
            </w:pPr>
            <w:r>
              <w:t>x</w:t>
            </w:r>
          </w:p>
        </w:tc>
        <w:tc>
          <w:tcPr>
            <w:tcW w:w="345" w:type="dxa"/>
            <w:vAlign w:val="center"/>
          </w:tcPr>
          <w:p w:rsidR="005F1498" w:rsidRPr="003506C4"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1</w:t>
            </w:r>
            <w:r w:rsidR="00A14A3A">
              <w:t>3</w:t>
            </w:r>
            <w:r>
              <w:t>.</w:t>
            </w:r>
          </w:p>
        </w:tc>
        <w:tc>
          <w:tcPr>
            <w:tcW w:w="2085" w:type="dxa"/>
            <w:vAlign w:val="center"/>
          </w:tcPr>
          <w:p w:rsidR="005F1498" w:rsidRDefault="00F97B92">
            <w:pPr>
              <w:pStyle w:val="TableContents"/>
              <w:jc w:val="center"/>
            </w:pPr>
            <w:r>
              <w:t>Телеком Србије</w:t>
            </w:r>
          </w:p>
        </w:tc>
        <w:tc>
          <w:tcPr>
            <w:tcW w:w="1099" w:type="dxa"/>
            <w:vAlign w:val="center"/>
          </w:tcPr>
          <w:p w:rsidR="005F1498" w:rsidRDefault="00F97B92">
            <w:pPr>
              <w:jc w:val="center"/>
            </w:pPr>
            <w:r>
              <w:t>Телеко-муник-ације</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Нејони-зујуће зрачење</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F97B92">
            <w:pPr>
              <w:jc w:val="center"/>
            </w:pPr>
            <w:r>
              <w:t>х</w:t>
            </w: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p w:rsidR="005F1498" w:rsidRDefault="005F1498">
            <w:pPr>
              <w:jc w:val="center"/>
            </w:pPr>
          </w:p>
          <w:p w:rsidR="005F1498" w:rsidRDefault="005F1498">
            <w:pPr>
              <w:jc w:val="center"/>
            </w:pPr>
          </w:p>
          <w:p w:rsidR="005F1498" w:rsidRDefault="005F1498">
            <w:pPr>
              <w:jc w:val="center"/>
            </w:pPr>
          </w:p>
          <w:p w:rsidR="005F1498" w:rsidRDefault="005F1498">
            <w:pPr>
              <w:jc w:val="center"/>
            </w:pPr>
          </w:p>
        </w:tc>
      </w:tr>
      <w:tr w:rsidR="005F1498">
        <w:tc>
          <w:tcPr>
            <w:tcW w:w="894" w:type="dxa"/>
            <w:vAlign w:val="center"/>
          </w:tcPr>
          <w:p w:rsidR="005F1498" w:rsidRDefault="00F97B92">
            <w:pPr>
              <w:jc w:val="center"/>
            </w:pPr>
            <w:r>
              <w:lastRenderedPageBreak/>
              <w:t>1</w:t>
            </w:r>
            <w:r w:rsidR="00A14A3A">
              <w:t>4</w:t>
            </w:r>
            <w:r>
              <w:t>.</w:t>
            </w:r>
          </w:p>
        </w:tc>
        <w:tc>
          <w:tcPr>
            <w:tcW w:w="2085" w:type="dxa"/>
            <w:vAlign w:val="center"/>
          </w:tcPr>
          <w:p w:rsidR="005F1498" w:rsidRDefault="00F97B92">
            <w:pPr>
              <w:pStyle w:val="TableContents"/>
              <w:snapToGrid w:val="0"/>
              <w:jc w:val="center"/>
            </w:pPr>
            <w:r>
              <w:t>A1 Srbija</w:t>
            </w:r>
          </w:p>
        </w:tc>
        <w:tc>
          <w:tcPr>
            <w:tcW w:w="1099" w:type="dxa"/>
            <w:vAlign w:val="center"/>
          </w:tcPr>
          <w:p w:rsidR="005F1498" w:rsidRDefault="00F97B92">
            <w:pPr>
              <w:jc w:val="center"/>
            </w:pPr>
            <w:r>
              <w:t>Телеко-муник-ације</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Нејони-зујуће зрачење</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5F1498">
            <w:pPr>
              <w:jc w:val="center"/>
            </w:pPr>
          </w:p>
        </w:tc>
        <w:tc>
          <w:tcPr>
            <w:tcW w:w="358" w:type="dxa"/>
            <w:vAlign w:val="center"/>
          </w:tcPr>
          <w:p w:rsidR="005F1498" w:rsidRDefault="005F1498">
            <w:pPr>
              <w:jc w:val="center"/>
            </w:pPr>
          </w:p>
        </w:tc>
        <w:tc>
          <w:tcPr>
            <w:tcW w:w="357" w:type="dxa"/>
            <w:vAlign w:val="center"/>
          </w:tcPr>
          <w:p w:rsidR="005F1498" w:rsidRDefault="00F97B92">
            <w:pPr>
              <w:jc w:val="center"/>
            </w:pPr>
            <w:r>
              <w:t>х</w:t>
            </w: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894" w:type="dxa"/>
            <w:vAlign w:val="center"/>
          </w:tcPr>
          <w:p w:rsidR="005F1498" w:rsidRDefault="00F97B92">
            <w:pPr>
              <w:jc w:val="center"/>
            </w:pPr>
            <w:r>
              <w:t>1</w:t>
            </w:r>
            <w:r w:rsidR="00A14A3A">
              <w:t>5</w:t>
            </w:r>
            <w:r>
              <w:t>.</w:t>
            </w:r>
          </w:p>
        </w:tc>
        <w:tc>
          <w:tcPr>
            <w:tcW w:w="2085" w:type="dxa"/>
            <w:vAlign w:val="center"/>
          </w:tcPr>
          <w:p w:rsidR="005F1498" w:rsidRDefault="00F97B92">
            <w:pPr>
              <w:pStyle w:val="TableContents"/>
              <w:snapToGrid w:val="0"/>
              <w:jc w:val="center"/>
            </w:pPr>
            <w:r>
              <w:t>Yettel Srbija</w:t>
            </w:r>
          </w:p>
        </w:tc>
        <w:tc>
          <w:tcPr>
            <w:tcW w:w="1099" w:type="dxa"/>
            <w:vAlign w:val="center"/>
          </w:tcPr>
          <w:p w:rsidR="005F1498" w:rsidRDefault="00F97B92">
            <w:pPr>
              <w:jc w:val="center"/>
            </w:pPr>
            <w:r>
              <w:t>Телеко-муник-ације</w:t>
            </w:r>
          </w:p>
        </w:tc>
        <w:tc>
          <w:tcPr>
            <w:tcW w:w="947" w:type="dxa"/>
            <w:vAlign w:val="center"/>
          </w:tcPr>
          <w:p w:rsidR="005F1498" w:rsidRDefault="00F97B92">
            <w:pPr>
              <w:jc w:val="center"/>
            </w:pPr>
            <w:r>
              <w:t>Низак</w:t>
            </w:r>
          </w:p>
        </w:tc>
        <w:tc>
          <w:tcPr>
            <w:tcW w:w="1073" w:type="dxa"/>
            <w:vAlign w:val="center"/>
          </w:tcPr>
          <w:p w:rsidR="005F1498" w:rsidRDefault="00F97B92">
            <w:pPr>
              <w:jc w:val="center"/>
            </w:pPr>
            <w:r>
              <w:t>Нејони-зујуће зрачење</w:t>
            </w:r>
          </w:p>
        </w:tc>
        <w:tc>
          <w:tcPr>
            <w:tcW w:w="392" w:type="dxa"/>
            <w:vAlign w:val="center"/>
          </w:tcPr>
          <w:p w:rsidR="005F1498" w:rsidRDefault="005F1498">
            <w:pPr>
              <w:jc w:val="center"/>
            </w:pPr>
          </w:p>
        </w:tc>
        <w:tc>
          <w:tcPr>
            <w:tcW w:w="369" w:type="dxa"/>
            <w:vAlign w:val="center"/>
          </w:tcPr>
          <w:p w:rsidR="005F1498" w:rsidRDefault="005F1498">
            <w:pPr>
              <w:jc w:val="center"/>
            </w:pPr>
          </w:p>
        </w:tc>
        <w:tc>
          <w:tcPr>
            <w:tcW w:w="312" w:type="dxa"/>
            <w:vAlign w:val="center"/>
          </w:tcPr>
          <w:p w:rsidR="005F1498" w:rsidRDefault="005F1498">
            <w:pPr>
              <w:jc w:val="center"/>
            </w:pPr>
          </w:p>
        </w:tc>
        <w:tc>
          <w:tcPr>
            <w:tcW w:w="346" w:type="dxa"/>
            <w:vAlign w:val="center"/>
          </w:tcPr>
          <w:p w:rsidR="005F1498" w:rsidRDefault="00F97B92">
            <w:pPr>
              <w:jc w:val="center"/>
            </w:pPr>
            <w:r>
              <w:t>х</w:t>
            </w:r>
          </w:p>
        </w:tc>
        <w:tc>
          <w:tcPr>
            <w:tcW w:w="358" w:type="dxa"/>
            <w:vAlign w:val="center"/>
          </w:tcPr>
          <w:p w:rsidR="005F1498" w:rsidRDefault="005F1498">
            <w:pPr>
              <w:jc w:val="center"/>
            </w:pPr>
          </w:p>
        </w:tc>
        <w:tc>
          <w:tcPr>
            <w:tcW w:w="357" w:type="dxa"/>
            <w:vAlign w:val="center"/>
          </w:tcPr>
          <w:p w:rsidR="005F1498" w:rsidRDefault="005F1498">
            <w:pPr>
              <w:jc w:val="center"/>
            </w:pPr>
          </w:p>
        </w:tc>
        <w:tc>
          <w:tcPr>
            <w:tcW w:w="370" w:type="dxa"/>
            <w:vAlign w:val="center"/>
          </w:tcPr>
          <w:p w:rsidR="005F1498" w:rsidRDefault="005F1498">
            <w:pPr>
              <w:jc w:val="center"/>
            </w:pPr>
          </w:p>
        </w:tc>
        <w:tc>
          <w:tcPr>
            <w:tcW w:w="346" w:type="dxa"/>
            <w:vAlign w:val="center"/>
          </w:tcPr>
          <w:p w:rsidR="005F1498" w:rsidRDefault="005F1498">
            <w:pPr>
              <w:jc w:val="center"/>
            </w:pPr>
          </w:p>
        </w:tc>
        <w:tc>
          <w:tcPr>
            <w:tcW w:w="352" w:type="dxa"/>
            <w:vAlign w:val="center"/>
          </w:tcPr>
          <w:p w:rsidR="005F1498" w:rsidRDefault="005F1498">
            <w:pPr>
              <w:jc w:val="center"/>
            </w:pPr>
          </w:p>
        </w:tc>
        <w:tc>
          <w:tcPr>
            <w:tcW w:w="345" w:type="dxa"/>
            <w:vAlign w:val="center"/>
          </w:tcPr>
          <w:p w:rsidR="005F1498" w:rsidRDefault="005F1498">
            <w:pPr>
              <w:jc w:val="center"/>
            </w:pPr>
          </w:p>
        </w:tc>
        <w:tc>
          <w:tcPr>
            <w:tcW w:w="358" w:type="dxa"/>
            <w:vAlign w:val="center"/>
          </w:tcPr>
          <w:p w:rsidR="005F1498" w:rsidRDefault="005F1498">
            <w:pPr>
              <w:jc w:val="center"/>
            </w:pPr>
          </w:p>
        </w:tc>
        <w:tc>
          <w:tcPr>
            <w:tcW w:w="316" w:type="dxa"/>
            <w:vAlign w:val="center"/>
          </w:tcPr>
          <w:p w:rsidR="005F1498" w:rsidRDefault="005F1498">
            <w:pPr>
              <w:jc w:val="center"/>
            </w:pPr>
          </w:p>
        </w:tc>
      </w:tr>
      <w:tr w:rsidR="005F1498">
        <w:tc>
          <w:tcPr>
            <w:tcW w:w="6098" w:type="dxa"/>
            <w:gridSpan w:val="5"/>
            <w:vAlign w:val="center"/>
          </w:tcPr>
          <w:p w:rsidR="005F1498" w:rsidRDefault="00F97B92">
            <w:pPr>
              <w:jc w:val="center"/>
            </w:pPr>
            <w:r>
              <w:t>ЗБИР НАДЗОРА ПО МЕСЕЦИМА</w:t>
            </w:r>
          </w:p>
        </w:tc>
        <w:tc>
          <w:tcPr>
            <w:tcW w:w="392" w:type="dxa"/>
            <w:vAlign w:val="center"/>
          </w:tcPr>
          <w:p w:rsidR="005F1498" w:rsidRDefault="00F97B92">
            <w:pPr>
              <w:jc w:val="center"/>
            </w:pPr>
            <w:r>
              <w:t>1</w:t>
            </w:r>
          </w:p>
        </w:tc>
        <w:tc>
          <w:tcPr>
            <w:tcW w:w="369" w:type="dxa"/>
            <w:vAlign w:val="center"/>
          </w:tcPr>
          <w:p w:rsidR="005F1498" w:rsidRDefault="00F97B92">
            <w:pPr>
              <w:jc w:val="center"/>
            </w:pPr>
            <w:r>
              <w:t>1</w:t>
            </w:r>
          </w:p>
        </w:tc>
        <w:tc>
          <w:tcPr>
            <w:tcW w:w="312" w:type="dxa"/>
            <w:vAlign w:val="center"/>
          </w:tcPr>
          <w:p w:rsidR="005F1498" w:rsidRDefault="00F97B92">
            <w:pPr>
              <w:jc w:val="center"/>
            </w:pPr>
            <w:r>
              <w:t>2</w:t>
            </w:r>
          </w:p>
        </w:tc>
        <w:tc>
          <w:tcPr>
            <w:tcW w:w="346" w:type="dxa"/>
            <w:vAlign w:val="center"/>
          </w:tcPr>
          <w:p w:rsidR="005F1498" w:rsidRDefault="00F97B92">
            <w:pPr>
              <w:jc w:val="center"/>
            </w:pPr>
            <w:r>
              <w:t>2</w:t>
            </w:r>
          </w:p>
        </w:tc>
        <w:tc>
          <w:tcPr>
            <w:tcW w:w="358" w:type="dxa"/>
            <w:vAlign w:val="center"/>
          </w:tcPr>
          <w:p w:rsidR="005F1498" w:rsidRDefault="00F97B92">
            <w:pPr>
              <w:jc w:val="center"/>
            </w:pPr>
            <w:r>
              <w:t>2</w:t>
            </w:r>
          </w:p>
        </w:tc>
        <w:tc>
          <w:tcPr>
            <w:tcW w:w="357" w:type="dxa"/>
            <w:vAlign w:val="center"/>
          </w:tcPr>
          <w:p w:rsidR="005F1498" w:rsidRDefault="00F97B92">
            <w:pPr>
              <w:jc w:val="center"/>
            </w:pPr>
            <w:r>
              <w:t>1</w:t>
            </w:r>
          </w:p>
        </w:tc>
        <w:tc>
          <w:tcPr>
            <w:tcW w:w="370" w:type="dxa"/>
            <w:vAlign w:val="center"/>
          </w:tcPr>
          <w:p w:rsidR="005F1498" w:rsidRDefault="00A14A3A">
            <w:pPr>
              <w:jc w:val="center"/>
            </w:pPr>
            <w:r>
              <w:t>2</w:t>
            </w:r>
          </w:p>
        </w:tc>
        <w:tc>
          <w:tcPr>
            <w:tcW w:w="346" w:type="dxa"/>
            <w:vAlign w:val="center"/>
          </w:tcPr>
          <w:p w:rsidR="005F1498" w:rsidRDefault="00F97B92">
            <w:pPr>
              <w:jc w:val="center"/>
            </w:pPr>
            <w:r>
              <w:t>1</w:t>
            </w:r>
          </w:p>
        </w:tc>
        <w:tc>
          <w:tcPr>
            <w:tcW w:w="352" w:type="dxa"/>
            <w:vAlign w:val="center"/>
          </w:tcPr>
          <w:p w:rsidR="005F1498" w:rsidRDefault="00F97B92">
            <w:pPr>
              <w:jc w:val="center"/>
            </w:pPr>
            <w:r>
              <w:t>1</w:t>
            </w:r>
          </w:p>
        </w:tc>
        <w:tc>
          <w:tcPr>
            <w:tcW w:w="345" w:type="dxa"/>
            <w:vAlign w:val="center"/>
          </w:tcPr>
          <w:p w:rsidR="005F1498" w:rsidRDefault="00F97B92">
            <w:pPr>
              <w:jc w:val="center"/>
            </w:pPr>
            <w:r>
              <w:t>1</w:t>
            </w:r>
          </w:p>
        </w:tc>
        <w:tc>
          <w:tcPr>
            <w:tcW w:w="358" w:type="dxa"/>
            <w:vAlign w:val="center"/>
          </w:tcPr>
          <w:p w:rsidR="005F1498" w:rsidRDefault="00F97B92">
            <w:pPr>
              <w:jc w:val="center"/>
            </w:pPr>
            <w:r>
              <w:t>1</w:t>
            </w:r>
          </w:p>
        </w:tc>
        <w:tc>
          <w:tcPr>
            <w:tcW w:w="316" w:type="dxa"/>
            <w:tcBorders>
              <w:top w:val="single" w:sz="4" w:space="0" w:color="auto"/>
              <w:left w:val="single" w:sz="4" w:space="0" w:color="auto"/>
              <w:bottom w:val="single" w:sz="4" w:space="0" w:color="auto"/>
              <w:right w:val="single" w:sz="4" w:space="0" w:color="auto"/>
            </w:tcBorders>
            <w:vAlign w:val="center"/>
          </w:tcPr>
          <w:p w:rsidR="005F1498" w:rsidRDefault="00F97B92">
            <w:pPr>
              <w:jc w:val="center"/>
            </w:pPr>
            <w:r>
              <w:t>2</w:t>
            </w:r>
          </w:p>
        </w:tc>
      </w:tr>
    </w:tbl>
    <w:p w:rsidR="005F1498" w:rsidRDefault="005F1498">
      <w:pPr>
        <w:autoSpaceDE w:val="0"/>
        <w:jc w:val="both"/>
        <w:rPr>
          <w:rFonts w:eastAsia="Times New Roman"/>
          <w:b/>
          <w:bCs/>
        </w:rPr>
      </w:pPr>
    </w:p>
    <w:p w:rsidR="005F1498" w:rsidRDefault="00F97B92" w:rsidP="003506C4">
      <w:pPr>
        <w:autoSpaceDE w:val="0"/>
        <w:ind w:firstLineChars="150" w:firstLine="361"/>
        <w:jc w:val="both"/>
        <w:rPr>
          <w:rFonts w:eastAsia="Times New Roman"/>
          <w:b/>
          <w:bCs/>
        </w:rPr>
      </w:pPr>
      <w:proofErr w:type="spellStart"/>
      <w:proofErr w:type="gramStart"/>
      <w:r>
        <w:rPr>
          <w:rFonts w:eastAsia="Times New Roman"/>
          <w:b/>
          <w:bCs/>
        </w:rPr>
        <w:t>Укупан</w:t>
      </w:r>
      <w:proofErr w:type="spellEnd"/>
      <w:r>
        <w:rPr>
          <w:rFonts w:eastAsia="Times New Roman"/>
          <w:b/>
          <w:bCs/>
        </w:rPr>
        <w:t xml:space="preserve"> </w:t>
      </w:r>
      <w:proofErr w:type="spellStart"/>
      <w:r>
        <w:rPr>
          <w:rFonts w:eastAsia="Times New Roman"/>
          <w:b/>
          <w:bCs/>
        </w:rPr>
        <w:t>број</w:t>
      </w:r>
      <w:proofErr w:type="spellEnd"/>
      <w:r>
        <w:rPr>
          <w:rFonts w:eastAsia="Times New Roman"/>
          <w:b/>
          <w:bCs/>
        </w:rPr>
        <w:t xml:space="preserve"> </w:t>
      </w:r>
      <w:proofErr w:type="spellStart"/>
      <w:r>
        <w:rPr>
          <w:rFonts w:eastAsia="Times New Roman"/>
          <w:b/>
          <w:bCs/>
        </w:rPr>
        <w:t>пл</w:t>
      </w:r>
      <w:r w:rsidR="004D056E">
        <w:rPr>
          <w:rFonts w:eastAsia="Times New Roman"/>
          <w:b/>
          <w:bCs/>
        </w:rPr>
        <w:t>анираних</w:t>
      </w:r>
      <w:proofErr w:type="spellEnd"/>
      <w:r w:rsidR="004D056E">
        <w:rPr>
          <w:rFonts w:eastAsia="Times New Roman"/>
          <w:b/>
          <w:bCs/>
        </w:rPr>
        <w:t xml:space="preserve"> </w:t>
      </w:r>
      <w:proofErr w:type="spellStart"/>
      <w:r w:rsidR="004D056E">
        <w:rPr>
          <w:rFonts w:eastAsia="Times New Roman"/>
          <w:b/>
          <w:bCs/>
        </w:rPr>
        <w:t>редовних</w:t>
      </w:r>
      <w:proofErr w:type="spellEnd"/>
      <w:r w:rsidR="004D056E">
        <w:rPr>
          <w:rFonts w:eastAsia="Times New Roman"/>
          <w:b/>
          <w:bCs/>
        </w:rPr>
        <w:t xml:space="preserve"> </w:t>
      </w:r>
      <w:proofErr w:type="spellStart"/>
      <w:r w:rsidR="004D056E">
        <w:rPr>
          <w:rFonts w:eastAsia="Times New Roman"/>
          <w:b/>
          <w:bCs/>
        </w:rPr>
        <w:t>надзора</w:t>
      </w:r>
      <w:proofErr w:type="spellEnd"/>
      <w:r w:rsidR="004D056E">
        <w:rPr>
          <w:rFonts w:eastAsia="Times New Roman"/>
          <w:b/>
          <w:bCs/>
        </w:rPr>
        <w:t xml:space="preserve"> у 2025</w:t>
      </w:r>
      <w:r>
        <w:rPr>
          <w:rFonts w:eastAsia="Times New Roman"/>
          <w:b/>
          <w:bCs/>
        </w:rPr>
        <w:t>.</w:t>
      </w:r>
      <w:proofErr w:type="gramEnd"/>
      <w:r>
        <w:rPr>
          <w:rFonts w:eastAsia="Times New Roman"/>
          <w:b/>
          <w:bCs/>
        </w:rPr>
        <w:t xml:space="preserve"> години је 1</w:t>
      </w:r>
      <w:r w:rsidR="00A14A3A">
        <w:rPr>
          <w:rFonts w:eastAsia="Times New Roman"/>
          <w:b/>
          <w:bCs/>
        </w:rPr>
        <w:t>7</w:t>
      </w:r>
      <w:r>
        <w:rPr>
          <w:rFonts w:eastAsia="Times New Roman"/>
          <w:b/>
          <w:bCs/>
        </w:rPr>
        <w:t xml:space="preserve"> инспекцијска надзора.</w:t>
      </w:r>
    </w:p>
    <w:p w:rsidR="005F1498" w:rsidRDefault="005F1498">
      <w:pPr>
        <w:autoSpaceDE w:val="0"/>
        <w:jc w:val="both"/>
        <w:rPr>
          <w:rFonts w:eastAsia="Times New Roman"/>
          <w:b/>
          <w:bCs/>
        </w:rPr>
      </w:pPr>
    </w:p>
    <w:p w:rsidR="005F1498" w:rsidRDefault="00F97B92">
      <w:pPr>
        <w:autoSpaceDE w:val="0"/>
        <w:jc w:val="center"/>
        <w:rPr>
          <w:rFonts w:eastAsia="Times New Roman"/>
          <w:b/>
          <w:bCs/>
        </w:rPr>
      </w:pPr>
      <w:r>
        <w:rPr>
          <w:rFonts w:eastAsia="Times New Roman"/>
          <w:b/>
          <w:bCs/>
        </w:rPr>
        <w:t>3. ТЕРИТОРИЈАЛНО ПОДРУЧЈЕ ВРШЕЊА НАДЗОРА</w:t>
      </w:r>
    </w:p>
    <w:p w:rsidR="005F1498" w:rsidRDefault="005F1498">
      <w:pPr>
        <w:autoSpaceDE w:val="0"/>
        <w:jc w:val="center"/>
        <w:rPr>
          <w:rFonts w:eastAsia="Times New Roman"/>
          <w:b/>
          <w:bCs/>
        </w:rPr>
      </w:pPr>
    </w:p>
    <w:p w:rsidR="005F1498" w:rsidRDefault="00F97B92">
      <w:pPr>
        <w:autoSpaceDE w:val="0"/>
        <w:jc w:val="both"/>
        <w:rPr>
          <w:rFonts w:eastAsia="Times New Roman"/>
        </w:rPr>
      </w:pPr>
      <w:r>
        <w:rPr>
          <w:rFonts w:eastAsia="Times New Roman"/>
        </w:rPr>
        <w:t>Надзор ће се вршити на територији општине Неготин, која се састоји из 39 насеља са укупно 43551 становником. Вршење надзора над поменутим територијалним подручјем утврђено је месном надлежношћу инспектора за заштиту животне средине.</w:t>
      </w:r>
    </w:p>
    <w:p w:rsidR="005F1498" w:rsidRDefault="005F1498">
      <w:pPr>
        <w:autoSpaceDE w:val="0"/>
        <w:jc w:val="both"/>
        <w:rPr>
          <w:rFonts w:eastAsia="Times New Roman"/>
        </w:rPr>
      </w:pPr>
    </w:p>
    <w:p w:rsidR="005F1498" w:rsidRDefault="00F97B92">
      <w:pPr>
        <w:numPr>
          <w:ilvl w:val="0"/>
          <w:numId w:val="2"/>
        </w:numPr>
        <w:jc w:val="both"/>
        <w:rPr>
          <w:b/>
          <w:bCs/>
        </w:rPr>
      </w:pPr>
      <w:r>
        <w:rPr>
          <w:b/>
          <w:bCs/>
        </w:rPr>
        <w:t>Период у коме ће се вршити инспекцијски надзор приказан је у табеларном прегледу (тачка 2).</w:t>
      </w:r>
    </w:p>
    <w:p w:rsidR="005F1498" w:rsidRDefault="005F1498">
      <w:pPr>
        <w:autoSpaceDE w:val="0"/>
        <w:jc w:val="center"/>
        <w:rPr>
          <w:rFonts w:eastAsia="Times New Roman"/>
        </w:rPr>
      </w:pPr>
    </w:p>
    <w:p w:rsidR="005F1498" w:rsidRDefault="005F1498">
      <w:pPr>
        <w:autoSpaceDE w:val="0"/>
        <w:jc w:val="both"/>
        <w:rPr>
          <w:rFonts w:eastAsia="Times New Roman"/>
          <w:b/>
          <w:bCs/>
        </w:rPr>
      </w:pPr>
    </w:p>
    <w:p w:rsidR="005F1498" w:rsidRDefault="00F97B92" w:rsidP="003506C4">
      <w:pPr>
        <w:autoSpaceDE w:val="0"/>
        <w:ind w:firstLineChars="700" w:firstLine="1687"/>
        <w:jc w:val="both"/>
        <w:rPr>
          <w:rFonts w:eastAsia="Times New Roman"/>
          <w:b/>
          <w:bCs/>
        </w:rPr>
      </w:pPr>
      <w:r>
        <w:rPr>
          <w:rFonts w:eastAsia="Times New Roman"/>
          <w:b/>
          <w:bCs/>
        </w:rPr>
        <w:t>5. ИНФОРМАЦИЈЕ О ОБЛИЦИМА ИНСПЕКЦИЈСКОГ НАДЗОРА</w:t>
      </w:r>
    </w:p>
    <w:p w:rsidR="005F1498" w:rsidRDefault="00F97B92">
      <w:pPr>
        <w:autoSpaceDE w:val="0"/>
        <w:jc w:val="both"/>
        <w:rPr>
          <w:rFonts w:eastAsia="Times New Roman"/>
          <w:b/>
          <w:bCs/>
        </w:rPr>
      </w:pPr>
      <w:r>
        <w:rPr>
          <w:rFonts w:eastAsia="Times New Roman"/>
          <w:b/>
          <w:bCs/>
        </w:rPr>
        <w:t xml:space="preserve"> </w:t>
      </w:r>
    </w:p>
    <w:p w:rsidR="005F1498" w:rsidRDefault="00F97B92">
      <w:pPr>
        <w:autoSpaceDE w:val="0"/>
        <w:jc w:val="both"/>
        <w:rPr>
          <w:rFonts w:eastAsia="Times New Roman"/>
        </w:rPr>
      </w:pPr>
      <w:r>
        <w:rPr>
          <w:rFonts w:eastAsia="Times New Roman"/>
        </w:rPr>
        <w:t>1.</w:t>
      </w:r>
      <w:r>
        <w:rPr>
          <w:rFonts w:eastAsia="Arial"/>
        </w:rPr>
        <w:t xml:space="preserve"> </w:t>
      </w:r>
      <w:r>
        <w:rPr>
          <w:rFonts w:eastAsia="Times New Roman"/>
        </w:rPr>
        <w:t xml:space="preserve">Општи циљ овог Плана је превенција и деловање ради спречавања загађивања животне средине и повећање поштовања еколошких стандарда. </w:t>
      </w:r>
    </w:p>
    <w:p w:rsidR="005F1498" w:rsidRDefault="00F97B92">
      <w:pPr>
        <w:autoSpaceDE w:val="0"/>
        <w:jc w:val="both"/>
        <w:rPr>
          <w:rFonts w:eastAsia="Times New Roman"/>
        </w:rPr>
      </w:pPr>
      <w:r>
        <w:rPr>
          <w:rFonts w:eastAsia="Times New Roman"/>
        </w:rPr>
        <w:t>2.</w:t>
      </w:r>
      <w:r>
        <w:rPr>
          <w:rFonts w:eastAsia="Arial"/>
          <w:b/>
          <w:bCs/>
        </w:rPr>
        <w:t xml:space="preserve"> </w:t>
      </w:r>
      <w:r>
        <w:rPr>
          <w:rFonts w:eastAsia="Times New Roman"/>
        </w:rPr>
        <w:t xml:space="preserve">Приликом инспекцијског надзора инспектор за заштиту животне средине дужан је да се придржава процедура уз обавезно коришћење контролних листа. </w:t>
      </w:r>
    </w:p>
    <w:p w:rsidR="005F1498" w:rsidRDefault="00F97B92">
      <w:pPr>
        <w:autoSpaceDE w:val="0"/>
        <w:jc w:val="both"/>
        <w:rPr>
          <w:rFonts w:eastAsia="Times New Roman"/>
        </w:rPr>
      </w:pPr>
      <w:r>
        <w:rPr>
          <w:rFonts w:eastAsia="Times New Roman"/>
        </w:rPr>
        <w:t>3.</w:t>
      </w:r>
      <w:r>
        <w:rPr>
          <w:rFonts w:eastAsia="Arial"/>
        </w:rPr>
        <w:t xml:space="preserve"> </w:t>
      </w:r>
      <w:r w:rsidR="004D056E">
        <w:rPr>
          <w:rFonts w:eastAsia="Times New Roman"/>
        </w:rPr>
        <w:t xml:space="preserve">У </w:t>
      </w:r>
      <w:proofErr w:type="spellStart"/>
      <w:r w:rsidR="004D056E">
        <w:rPr>
          <w:rFonts w:eastAsia="Times New Roman"/>
        </w:rPr>
        <w:t>току</w:t>
      </w:r>
      <w:proofErr w:type="spellEnd"/>
      <w:r w:rsidR="004D056E">
        <w:rPr>
          <w:rFonts w:eastAsia="Times New Roman"/>
        </w:rPr>
        <w:t xml:space="preserve"> 2025</w:t>
      </w:r>
      <w:r>
        <w:rPr>
          <w:rFonts w:eastAsia="Times New Roman"/>
        </w:rPr>
        <w:t>. године инспектор за заштиту животне средине вршиће редовне, ванредне, мешовите, контролне и допунске инспекцијске надзоре, као и превентивно деловање.</w:t>
      </w:r>
    </w:p>
    <w:p w:rsidR="005F1498" w:rsidRDefault="00F97B92">
      <w:pPr>
        <w:autoSpaceDE w:val="0"/>
        <w:jc w:val="both"/>
        <w:rPr>
          <w:rFonts w:eastAsia="Times New Roman"/>
        </w:rPr>
      </w:pPr>
      <w:r>
        <w:rPr>
          <w:rFonts w:eastAsia="Times New Roman"/>
        </w:rPr>
        <w:t>Редовни инспекцијски надзори базирани су на процењеном ризику надзираних субјекта који у оквиру својих делатности које обављају на територији општине Неготин, могу утицати на квалитет животне средине у погледу штетних емисија у ваздух, воду и земљиште и сл.</w:t>
      </w:r>
    </w:p>
    <w:p w:rsidR="005F1498" w:rsidRDefault="00F97B92">
      <w:pPr>
        <w:autoSpaceDE w:val="0"/>
        <w:jc w:val="both"/>
        <w:rPr>
          <w:rFonts w:eastAsia="Times New Roman"/>
        </w:rPr>
      </w:pPr>
      <w:r>
        <w:rPr>
          <w:rFonts w:eastAsia="Times New Roman"/>
        </w:rPr>
        <w:t>Ванредни инспекцијски надзори зависиће од броја захтева странака за ванредним утврђујућим надзором (у складу са Законом о енергетици ) , броја представки грађана и МУПа (у складу са Законом о заштити од буке или Законом о заштити ваздуха, и сл.) .</w:t>
      </w:r>
    </w:p>
    <w:p w:rsidR="005F1498" w:rsidRDefault="00F97B92">
      <w:pPr>
        <w:autoSpaceDE w:val="0"/>
        <w:jc w:val="both"/>
        <w:rPr>
          <w:rFonts w:eastAsia="Times New Roman"/>
        </w:rPr>
      </w:pPr>
      <w:r>
        <w:rPr>
          <w:rFonts w:eastAsia="Times New Roman"/>
        </w:rPr>
        <w:t xml:space="preserve">Мешовити инспекцијски надзори вршиће се у зависности од поклапања или повезаности редовног и ванредног инспекцијског надзора. </w:t>
      </w:r>
    </w:p>
    <w:p w:rsidR="005F1498" w:rsidRDefault="00F97B92">
      <w:pPr>
        <w:autoSpaceDE w:val="0"/>
        <w:jc w:val="both"/>
        <w:rPr>
          <w:rFonts w:eastAsia="Times New Roman"/>
        </w:rPr>
      </w:pPr>
      <w:r>
        <w:rPr>
          <w:rFonts w:eastAsia="Times New Roman"/>
        </w:rPr>
        <w:t>Контролни инспекцијски надзори врши ће се сразмерно броју наложених мера у току редовног и ванредног инспекцијског надзора.</w:t>
      </w:r>
    </w:p>
    <w:p w:rsidR="005F1498" w:rsidRDefault="00F97B92">
      <w:pPr>
        <w:autoSpaceDE w:val="0"/>
        <w:jc w:val="both"/>
        <w:rPr>
          <w:rFonts w:eastAsia="Times New Roman"/>
        </w:rPr>
      </w:pPr>
      <w:r>
        <w:rPr>
          <w:rFonts w:eastAsia="Times New Roman"/>
        </w:rPr>
        <w:t>Допунски инспекцијски надзор вршиће се у складу са потребама горе наведених облика инспекцијског надзора, ради утврђивања нових чињеница које нису биле утврђене у току редовног, ванредног или мешовитог инспекцијског надзора.</w:t>
      </w:r>
    </w:p>
    <w:p w:rsidR="005F1498" w:rsidRDefault="005F1498">
      <w:pPr>
        <w:autoSpaceDE w:val="0"/>
        <w:jc w:val="both"/>
        <w:rPr>
          <w:rFonts w:eastAsia="Times New Roman"/>
        </w:rPr>
      </w:pPr>
    </w:p>
    <w:p w:rsidR="005F1498" w:rsidRDefault="00F97B92">
      <w:pPr>
        <w:autoSpaceDE w:val="0"/>
        <w:jc w:val="center"/>
        <w:rPr>
          <w:rFonts w:eastAsia="Times New Roman"/>
          <w:b/>
          <w:bCs/>
        </w:rPr>
      </w:pPr>
      <w:r>
        <w:rPr>
          <w:rFonts w:eastAsia="Times New Roman"/>
          <w:b/>
          <w:bCs/>
        </w:rPr>
        <w:t>6. ПОДАЦИ О РЕСУРСИМА ИНСПЕКЦИЈЕ</w:t>
      </w:r>
    </w:p>
    <w:p w:rsidR="005F1498" w:rsidRDefault="005F1498">
      <w:pPr>
        <w:autoSpaceDE w:val="0"/>
        <w:jc w:val="center"/>
        <w:rPr>
          <w:rFonts w:eastAsia="Times New Roman"/>
          <w:b/>
          <w:bCs/>
        </w:rPr>
      </w:pPr>
    </w:p>
    <w:p w:rsidR="005F1498" w:rsidRDefault="004D056E">
      <w:pPr>
        <w:autoSpaceDE w:val="0"/>
        <w:jc w:val="both"/>
        <w:rPr>
          <w:rFonts w:eastAsia="Times New Roman"/>
        </w:rPr>
      </w:pPr>
      <w:proofErr w:type="gramStart"/>
      <w:r>
        <w:rPr>
          <w:rFonts w:eastAsia="Times New Roman"/>
        </w:rPr>
        <w:t xml:space="preserve">У </w:t>
      </w:r>
      <w:proofErr w:type="spellStart"/>
      <w:r>
        <w:rPr>
          <w:rFonts w:eastAsia="Times New Roman"/>
        </w:rPr>
        <w:t>току</w:t>
      </w:r>
      <w:proofErr w:type="spellEnd"/>
      <w:r>
        <w:rPr>
          <w:rFonts w:eastAsia="Times New Roman"/>
        </w:rPr>
        <w:t xml:space="preserve"> 2025</w:t>
      </w:r>
      <w:r w:rsidR="00F97B92">
        <w:rPr>
          <w:rFonts w:eastAsia="Times New Roman"/>
        </w:rPr>
        <w:t>.</w:t>
      </w:r>
      <w:proofErr w:type="gramEnd"/>
      <w:r w:rsidR="00F97B92">
        <w:rPr>
          <w:rFonts w:eastAsia="Times New Roman"/>
        </w:rPr>
        <w:t xml:space="preserve"> године инспектор за заштиту животне средине имаће 224 радних дана., у оквиру којих ће се спроводити редовни, ванредни, превентивни, контролни и остали облици ин</w:t>
      </w:r>
      <w:r>
        <w:rPr>
          <w:rFonts w:eastAsia="Times New Roman"/>
        </w:rPr>
        <w:t xml:space="preserve">спекцијског надзора. </w:t>
      </w:r>
      <w:proofErr w:type="gramStart"/>
      <w:r>
        <w:rPr>
          <w:rFonts w:eastAsia="Times New Roman"/>
        </w:rPr>
        <w:t xml:space="preserve">У </w:t>
      </w:r>
      <w:proofErr w:type="spellStart"/>
      <w:r>
        <w:rPr>
          <w:rFonts w:eastAsia="Times New Roman"/>
        </w:rPr>
        <w:t>току</w:t>
      </w:r>
      <w:proofErr w:type="spellEnd"/>
      <w:r>
        <w:rPr>
          <w:rFonts w:eastAsia="Times New Roman"/>
        </w:rPr>
        <w:t xml:space="preserve"> 2025</w:t>
      </w:r>
      <w:r w:rsidR="00F97B92">
        <w:rPr>
          <w:rFonts w:eastAsia="Times New Roman"/>
        </w:rPr>
        <w:t>.</w:t>
      </w:r>
      <w:proofErr w:type="gramEnd"/>
      <w:r w:rsidR="00F97B92">
        <w:rPr>
          <w:rFonts w:eastAsia="Times New Roman"/>
        </w:rPr>
        <w:t xml:space="preserve"> године предвиђа се око 5 дана за обуке, састанке, </w:t>
      </w:r>
      <w:r w:rsidR="00F97B92">
        <w:rPr>
          <w:rFonts w:eastAsia="Times New Roman"/>
        </w:rPr>
        <w:lastRenderedPageBreak/>
        <w:t>радионице, семинаре и остале активности инспектора за заштиту животне средине као што је израда извештаја о раду, учешће на изради општинских прописа и контролних листа, као и редовно архивирање предмета итд.  Инспектор за заштиту животне средине располаже једним службеним аутом који користе и остали инспектори Одељења за инспекцијске послове, поседује службени мобилни телефон и десктоп рачунар са штампачем. Не располаже лаптопом, инспекторском униформом и обућом.</w:t>
      </w:r>
    </w:p>
    <w:p w:rsidR="005F1498" w:rsidRDefault="005F1498">
      <w:pPr>
        <w:autoSpaceDE w:val="0"/>
        <w:jc w:val="both"/>
        <w:rPr>
          <w:rFonts w:eastAsia="Times New Roman"/>
        </w:rPr>
      </w:pPr>
    </w:p>
    <w:p w:rsidR="005F1498" w:rsidRDefault="005F1498">
      <w:pPr>
        <w:autoSpaceDE w:val="0"/>
        <w:jc w:val="both"/>
        <w:rPr>
          <w:rFonts w:eastAsia="Times New Roman"/>
        </w:rPr>
      </w:pPr>
    </w:p>
    <w:p w:rsidR="005F1498" w:rsidRDefault="00F97B92">
      <w:pPr>
        <w:autoSpaceDE w:val="0"/>
        <w:jc w:val="both"/>
        <w:rPr>
          <w:rFonts w:eastAsia="Times New Roman"/>
        </w:rPr>
      </w:pPr>
      <w:r>
        <w:rPr>
          <w:rFonts w:eastAsia="Times New Roman"/>
          <w:b/>
          <w:bCs/>
        </w:rPr>
        <w:t xml:space="preserve">7. </w:t>
      </w:r>
      <w:proofErr w:type="spellStart"/>
      <w:r>
        <w:rPr>
          <w:rFonts w:eastAsia="Times New Roman"/>
          <w:b/>
          <w:bCs/>
        </w:rPr>
        <w:t>Превентивно</w:t>
      </w:r>
      <w:proofErr w:type="spellEnd"/>
      <w:r>
        <w:rPr>
          <w:rFonts w:eastAsia="Times New Roman"/>
          <w:b/>
          <w:bCs/>
        </w:rPr>
        <w:t xml:space="preserve"> </w:t>
      </w:r>
      <w:proofErr w:type="spellStart"/>
      <w:r>
        <w:rPr>
          <w:rFonts w:eastAsia="Times New Roman"/>
          <w:b/>
          <w:bCs/>
        </w:rPr>
        <w:t>деловање</w:t>
      </w:r>
      <w:proofErr w:type="spellEnd"/>
      <w:r>
        <w:rPr>
          <w:rFonts w:eastAsia="Times New Roman"/>
          <w:b/>
          <w:bCs/>
        </w:rPr>
        <w:t xml:space="preserve"> </w:t>
      </w:r>
      <w:proofErr w:type="spellStart"/>
      <w:r>
        <w:rPr>
          <w:rFonts w:eastAsia="Times New Roman"/>
          <w:b/>
          <w:bCs/>
        </w:rPr>
        <w:t>инспектора</w:t>
      </w:r>
      <w:proofErr w:type="spellEnd"/>
      <w:r>
        <w:rPr>
          <w:rFonts w:eastAsia="Times New Roman"/>
        </w:rPr>
        <w:t xml:space="preserve"> </w:t>
      </w:r>
      <w:proofErr w:type="spellStart"/>
      <w:r>
        <w:rPr>
          <w:rFonts w:eastAsia="Times New Roman"/>
        </w:rPr>
        <w:t>за</w:t>
      </w:r>
      <w:proofErr w:type="spellEnd"/>
      <w:r>
        <w:rPr>
          <w:rFonts w:eastAsia="Times New Roman"/>
        </w:rPr>
        <w:t xml:space="preserve"> </w:t>
      </w:r>
      <w:proofErr w:type="spellStart"/>
      <w:r>
        <w:rPr>
          <w:rFonts w:eastAsia="Times New Roman"/>
        </w:rPr>
        <w:t>заш</w:t>
      </w:r>
      <w:r w:rsidR="004D056E">
        <w:rPr>
          <w:rFonts w:eastAsia="Times New Roman"/>
        </w:rPr>
        <w:t>титу</w:t>
      </w:r>
      <w:proofErr w:type="spellEnd"/>
      <w:r w:rsidR="004D056E">
        <w:rPr>
          <w:rFonts w:eastAsia="Times New Roman"/>
        </w:rPr>
        <w:t xml:space="preserve"> </w:t>
      </w:r>
      <w:proofErr w:type="spellStart"/>
      <w:r w:rsidR="004D056E">
        <w:rPr>
          <w:rFonts w:eastAsia="Times New Roman"/>
        </w:rPr>
        <w:t>животне</w:t>
      </w:r>
      <w:proofErr w:type="spellEnd"/>
      <w:r w:rsidR="004D056E">
        <w:rPr>
          <w:rFonts w:eastAsia="Times New Roman"/>
        </w:rPr>
        <w:t xml:space="preserve"> </w:t>
      </w:r>
      <w:proofErr w:type="spellStart"/>
      <w:r w:rsidR="004D056E">
        <w:rPr>
          <w:rFonts w:eastAsia="Times New Roman"/>
        </w:rPr>
        <w:t>средине</w:t>
      </w:r>
      <w:proofErr w:type="spellEnd"/>
      <w:r w:rsidR="004D056E">
        <w:rPr>
          <w:rFonts w:eastAsia="Times New Roman"/>
        </w:rPr>
        <w:t xml:space="preserve"> у </w:t>
      </w:r>
      <w:proofErr w:type="spellStart"/>
      <w:r w:rsidR="004D056E">
        <w:rPr>
          <w:rFonts w:eastAsia="Times New Roman"/>
        </w:rPr>
        <w:t>току</w:t>
      </w:r>
      <w:proofErr w:type="spellEnd"/>
      <w:r w:rsidR="004D056E">
        <w:rPr>
          <w:rFonts w:eastAsia="Times New Roman"/>
        </w:rPr>
        <w:t xml:space="preserve"> 2025</w:t>
      </w:r>
      <w:r>
        <w:rPr>
          <w:rFonts w:eastAsia="Times New Roman"/>
        </w:rPr>
        <w:t>. године, планира се објављивањем планова и контролних листи, обавештавањем јавности о примени важећих прописа, као и кроз вршење службено саветодавних посета. Годишњи план инспекцијског надзора објавиће се почетком године, као и важеће контролне листе. Планирано је да се изврши 6 службено саветодавних посета по службеној дужности у области заштите од буке, заштите ваздуха и поступања са неопасним и инертним отпадом. Поменуте службено саветодавне посете реализоваће се по једна у два месеца, а трајање сваке планира се око 3 сата.</w:t>
      </w:r>
    </w:p>
    <w:p w:rsidR="005F1498" w:rsidRDefault="005F1498">
      <w:pPr>
        <w:autoSpaceDE w:val="0"/>
        <w:jc w:val="both"/>
        <w:rPr>
          <w:rFonts w:eastAsia="Times New Roman"/>
        </w:rPr>
      </w:pPr>
    </w:p>
    <w:p w:rsidR="005F1498" w:rsidRDefault="00F97B92">
      <w:pPr>
        <w:autoSpaceDE w:val="0"/>
        <w:jc w:val="both"/>
        <w:rPr>
          <w:rFonts w:eastAsia="Times New Roman"/>
        </w:rPr>
      </w:pPr>
      <w:r>
        <w:rPr>
          <w:rFonts w:eastAsia="Times New Roman"/>
          <w:b/>
          <w:bCs/>
        </w:rPr>
        <w:t>8. Активности према нерегистрованим субјектима</w:t>
      </w:r>
      <w:r>
        <w:rPr>
          <w:rFonts w:eastAsia="Times New Roman"/>
        </w:rPr>
        <w:t xml:space="preserve">, вршиће се у складу са чланом 33. ЗОИНа, у смислу уписивања делатности у основни регистар, прибављање потребних дозвола оператера за управљање отпадом, доношење планова управљања заштићеним природним добром, прибављања потребних докумената за коришћење извора нејонизујућег зрачења итд. </w:t>
      </w:r>
      <w:proofErr w:type="gramStart"/>
      <w:r>
        <w:rPr>
          <w:rFonts w:eastAsia="Times New Roman"/>
        </w:rPr>
        <w:t xml:space="preserve">Обзиром да у последње три године, затечен </w:t>
      </w:r>
      <w:proofErr w:type="spellStart"/>
      <w:r>
        <w:rPr>
          <w:rFonts w:eastAsia="Times New Roman"/>
        </w:rPr>
        <w:t>је</w:t>
      </w:r>
      <w:proofErr w:type="spellEnd"/>
      <w:r>
        <w:rPr>
          <w:rFonts w:eastAsia="Times New Roman"/>
        </w:rPr>
        <w:t xml:space="preserve"> </w:t>
      </w:r>
      <w:proofErr w:type="spellStart"/>
      <w:r>
        <w:rPr>
          <w:rFonts w:eastAsia="Times New Roman"/>
        </w:rPr>
        <w:t>један</w:t>
      </w:r>
      <w:proofErr w:type="spellEnd"/>
      <w:r>
        <w:rPr>
          <w:rFonts w:eastAsia="Times New Roman"/>
        </w:rPr>
        <w:t xml:space="preserve"> </w:t>
      </w:r>
      <w:proofErr w:type="spellStart"/>
      <w:r>
        <w:rPr>
          <w:rFonts w:eastAsia="Times New Roman"/>
        </w:rPr>
        <w:t>нерегистровани</w:t>
      </w:r>
      <w:proofErr w:type="spellEnd"/>
      <w:r>
        <w:rPr>
          <w:rFonts w:eastAsia="Times New Roman"/>
        </w:rPr>
        <w:t xml:space="preserve"> </w:t>
      </w:r>
      <w:proofErr w:type="spellStart"/>
      <w:r>
        <w:rPr>
          <w:rFonts w:eastAsia="Times New Roman"/>
        </w:rPr>
        <w:t>субјека</w:t>
      </w:r>
      <w:r w:rsidR="004D056E">
        <w:rPr>
          <w:rFonts w:eastAsia="Times New Roman"/>
        </w:rPr>
        <w:t>т</w:t>
      </w:r>
      <w:proofErr w:type="spellEnd"/>
      <w:r w:rsidR="004D056E">
        <w:rPr>
          <w:rFonts w:eastAsia="Times New Roman"/>
        </w:rPr>
        <w:t xml:space="preserve">, </w:t>
      </w:r>
      <w:proofErr w:type="spellStart"/>
      <w:r w:rsidR="004D056E">
        <w:rPr>
          <w:rFonts w:eastAsia="Times New Roman"/>
        </w:rPr>
        <w:t>планира</w:t>
      </w:r>
      <w:proofErr w:type="spellEnd"/>
      <w:r w:rsidR="004D056E">
        <w:rPr>
          <w:rFonts w:eastAsia="Times New Roman"/>
        </w:rPr>
        <w:t xml:space="preserve"> </w:t>
      </w:r>
      <w:proofErr w:type="spellStart"/>
      <w:r w:rsidR="004D056E">
        <w:rPr>
          <w:rFonts w:eastAsia="Times New Roman"/>
        </w:rPr>
        <w:t>се</w:t>
      </w:r>
      <w:proofErr w:type="spellEnd"/>
      <w:r w:rsidR="004D056E">
        <w:rPr>
          <w:rFonts w:eastAsia="Times New Roman"/>
        </w:rPr>
        <w:t xml:space="preserve"> </w:t>
      </w:r>
      <w:proofErr w:type="spellStart"/>
      <w:r w:rsidR="004D056E">
        <w:rPr>
          <w:rFonts w:eastAsia="Times New Roman"/>
        </w:rPr>
        <w:t>да</w:t>
      </w:r>
      <w:proofErr w:type="spellEnd"/>
      <w:r w:rsidR="004D056E">
        <w:rPr>
          <w:rFonts w:eastAsia="Times New Roman"/>
        </w:rPr>
        <w:t xml:space="preserve"> и у 2025</w:t>
      </w:r>
      <w:r>
        <w:rPr>
          <w:rFonts w:eastAsia="Times New Roman"/>
        </w:rPr>
        <w:t>.</w:t>
      </w:r>
      <w:proofErr w:type="gramEnd"/>
      <w:r>
        <w:rPr>
          <w:rFonts w:eastAsia="Times New Roman"/>
        </w:rPr>
        <w:t xml:space="preserve"> години неће бити неког значајнијег одступања. </w:t>
      </w:r>
    </w:p>
    <w:p w:rsidR="005F1498" w:rsidRDefault="005F1498">
      <w:pPr>
        <w:autoSpaceDE w:val="0"/>
        <w:jc w:val="both"/>
        <w:rPr>
          <w:rFonts w:eastAsia="Times New Roman"/>
        </w:rPr>
      </w:pPr>
    </w:p>
    <w:p w:rsidR="005F1498" w:rsidRDefault="00F97B92">
      <w:pPr>
        <w:autoSpaceDE w:val="0"/>
        <w:jc w:val="both"/>
        <w:rPr>
          <w:rFonts w:eastAsia="Times New Roman"/>
        </w:rPr>
      </w:pPr>
      <w:r>
        <w:rPr>
          <w:b/>
          <w:bCs/>
        </w:rPr>
        <w:t>9. О</w:t>
      </w:r>
      <w:r>
        <w:rPr>
          <w:b/>
          <w:bCs/>
          <w:lang w:val="sr-Cyrl-CS"/>
        </w:rPr>
        <w:t>чекивани обим ванредних инспекцијских надзора</w:t>
      </w:r>
      <w:r>
        <w:rPr>
          <w:lang w:val="sr-Cyrl-CS"/>
        </w:rPr>
        <w:t xml:space="preserve"> у </w:t>
      </w:r>
      <w:proofErr w:type="spellStart"/>
      <w:r w:rsidR="004D056E">
        <w:t>току</w:t>
      </w:r>
      <w:proofErr w:type="spellEnd"/>
      <w:r w:rsidR="004D056E">
        <w:t xml:space="preserve"> 2025</w:t>
      </w:r>
      <w:r>
        <w:t xml:space="preserve">. </w:t>
      </w:r>
      <w:proofErr w:type="gramStart"/>
      <w:r>
        <w:t>године</w:t>
      </w:r>
      <w:proofErr w:type="gramEnd"/>
      <w:r>
        <w:t xml:space="preserve">, одређен је на основу броја тих надзора у последње три године, и то је око 5% у </w:t>
      </w:r>
      <w:proofErr w:type="spellStart"/>
      <w:r>
        <w:t>односу</w:t>
      </w:r>
      <w:proofErr w:type="spellEnd"/>
      <w:r>
        <w:t xml:space="preserve"> </w:t>
      </w:r>
      <w:proofErr w:type="spellStart"/>
      <w:r>
        <w:t>на</w:t>
      </w:r>
      <w:proofErr w:type="spellEnd"/>
      <w:r>
        <w:t xml:space="preserve"> </w:t>
      </w:r>
      <w:proofErr w:type="spellStart"/>
      <w:r>
        <w:t>укупан</w:t>
      </w:r>
      <w:proofErr w:type="spellEnd"/>
      <w:r>
        <w:t xml:space="preserve"> </w:t>
      </w:r>
      <w:proofErr w:type="spellStart"/>
      <w:r>
        <w:t>број</w:t>
      </w:r>
      <w:proofErr w:type="spellEnd"/>
      <w:r>
        <w:t xml:space="preserve"> </w:t>
      </w:r>
      <w:proofErr w:type="spellStart"/>
      <w:r>
        <w:t>редовних</w:t>
      </w:r>
      <w:proofErr w:type="spellEnd"/>
      <w:r>
        <w:t xml:space="preserve"> </w:t>
      </w:r>
      <w:proofErr w:type="spellStart"/>
      <w:r>
        <w:t>инспекци</w:t>
      </w:r>
      <w:r w:rsidR="004D056E">
        <w:t>јских</w:t>
      </w:r>
      <w:proofErr w:type="spellEnd"/>
      <w:r w:rsidR="004D056E">
        <w:t xml:space="preserve"> </w:t>
      </w:r>
      <w:proofErr w:type="spellStart"/>
      <w:r w:rsidR="004D056E">
        <w:t>надзора</w:t>
      </w:r>
      <w:proofErr w:type="spellEnd"/>
      <w:r w:rsidR="004D056E">
        <w:t xml:space="preserve"> </w:t>
      </w:r>
      <w:proofErr w:type="spellStart"/>
      <w:r w:rsidR="004D056E">
        <w:t>планираних</w:t>
      </w:r>
      <w:proofErr w:type="spellEnd"/>
      <w:r w:rsidR="004D056E">
        <w:t xml:space="preserve"> </w:t>
      </w:r>
      <w:proofErr w:type="spellStart"/>
      <w:r w:rsidR="004D056E">
        <w:t>за</w:t>
      </w:r>
      <w:proofErr w:type="spellEnd"/>
      <w:r w:rsidR="004D056E">
        <w:t xml:space="preserve"> 2025</w:t>
      </w:r>
      <w:r>
        <w:t>. годину.</w:t>
      </w:r>
    </w:p>
    <w:p w:rsidR="005F1498" w:rsidRDefault="005F1498">
      <w:pPr>
        <w:autoSpaceDE w:val="0"/>
        <w:jc w:val="both"/>
        <w:rPr>
          <w:rFonts w:eastAsia="Times New Roman"/>
        </w:rPr>
      </w:pPr>
    </w:p>
    <w:p w:rsidR="005F1498" w:rsidRDefault="00F97B92">
      <w:pPr>
        <w:autoSpaceDE w:val="0"/>
        <w:jc w:val="both"/>
        <w:rPr>
          <w:rFonts w:eastAsia="Times New Roman"/>
          <w:b/>
          <w:bCs/>
          <w:caps/>
          <w:lang w:val="ru-RU"/>
        </w:rPr>
      </w:pPr>
      <w:r>
        <w:rPr>
          <w:rFonts w:eastAsia="Times New Roman"/>
          <w:b/>
          <w:bCs/>
        </w:rPr>
        <w:t>10. Инспектор за заштиту животне средине</w:t>
      </w:r>
      <w:r>
        <w:rPr>
          <w:rFonts w:eastAsia="Times New Roman"/>
        </w:rPr>
        <w:t xml:space="preserve"> Одељења за инспекцијске послове Општинске управе општине Неготин, врши надзор и као  туристички инспектор над спровођењем Закона о угоститељству, такође врши надзор и над изворним прописима које доноси Скупштина општине Неготин, за који се такође доноси годишњи план, водећи рачуна о расположивом времену за вршење надзора код сва три плана.</w:t>
      </w:r>
    </w:p>
    <w:p w:rsidR="005F1498" w:rsidRDefault="005F1498">
      <w:pPr>
        <w:autoSpaceDE w:val="0"/>
        <w:jc w:val="center"/>
        <w:rPr>
          <w:rFonts w:eastAsia="Times New Roman"/>
          <w:b/>
          <w:bCs/>
          <w:caps/>
          <w:lang w:val="ru-RU"/>
        </w:rPr>
      </w:pPr>
    </w:p>
    <w:p w:rsidR="007738DA" w:rsidRDefault="007738DA">
      <w:pPr>
        <w:autoSpaceDE w:val="0"/>
        <w:jc w:val="center"/>
        <w:rPr>
          <w:rFonts w:eastAsia="Times New Roman"/>
          <w:b/>
          <w:bCs/>
          <w:caps/>
          <w:lang w:val="ru-RU"/>
        </w:rPr>
      </w:pPr>
    </w:p>
    <w:p w:rsidR="005F1498" w:rsidRDefault="00F97B92">
      <w:pPr>
        <w:autoSpaceDE w:val="0"/>
        <w:jc w:val="center"/>
        <w:rPr>
          <w:rFonts w:eastAsia="Times New Roman"/>
          <w:b/>
          <w:bCs/>
          <w:caps/>
        </w:rPr>
      </w:pPr>
      <w:r>
        <w:rPr>
          <w:rFonts w:eastAsia="Times New Roman"/>
          <w:b/>
          <w:bCs/>
          <w:caps/>
          <w:lang w:val="ru-RU"/>
        </w:rPr>
        <w:t>Проце</w:t>
      </w:r>
      <w:r>
        <w:rPr>
          <w:rFonts w:eastAsia="Times New Roman"/>
          <w:b/>
          <w:bCs/>
          <w:caps/>
        </w:rPr>
        <w:t>НА</w:t>
      </w:r>
      <w:r>
        <w:rPr>
          <w:rFonts w:eastAsia="Times New Roman"/>
          <w:b/>
          <w:bCs/>
          <w:caps/>
          <w:lang w:val="ru-RU"/>
        </w:rPr>
        <w:t xml:space="preserve"> ризик</w:t>
      </w:r>
      <w:r>
        <w:rPr>
          <w:rFonts w:eastAsia="Times New Roman"/>
          <w:b/>
          <w:bCs/>
          <w:caps/>
        </w:rPr>
        <w:t>А</w:t>
      </w:r>
    </w:p>
    <w:p w:rsidR="005F1498" w:rsidRDefault="005F1498">
      <w:pPr>
        <w:autoSpaceDE w:val="0"/>
        <w:jc w:val="center"/>
        <w:rPr>
          <w:rFonts w:eastAsia="Times New Roman"/>
          <w:b/>
          <w:bCs/>
          <w:caps/>
        </w:rPr>
      </w:pPr>
    </w:p>
    <w:p w:rsidR="005F1498" w:rsidRDefault="00F97B92">
      <w:pPr>
        <w:spacing w:before="120"/>
        <w:jc w:val="both"/>
        <w:rPr>
          <w:lang w:val="sr-Cyrl-CS"/>
        </w:rPr>
      </w:pPr>
      <w:r>
        <w:rPr>
          <w:lang w:val="sr-Cyrl-CS"/>
        </w:rPr>
        <w:tab/>
        <w:t>Процена почетног ризика, у односу на делатност која се обавља, дата је у табели  овог Плана. С обзиром да делатност није довољан критеријум, у току инспекцијског надзора утврђиваће се и други елементи који ће додатно умањивати или повећавати почетно процењени ризик код надзираног субјекта.</w:t>
      </w:r>
    </w:p>
    <w:p w:rsidR="005F1498" w:rsidRDefault="00F97B92">
      <w:pPr>
        <w:autoSpaceDE w:val="0"/>
        <w:jc w:val="both"/>
      </w:pPr>
      <w:r>
        <w:rPr>
          <w:lang w:val="sr-Cyrl-CS"/>
        </w:rPr>
        <w:tab/>
      </w:r>
      <w:r>
        <w:t xml:space="preserve">Процена ризика је извршена на основу одговарајућих посебних критеријума као што су: </w:t>
      </w:r>
      <w:r>
        <w:rPr>
          <w:rFonts w:eastAsia="SimSun"/>
        </w:rPr>
        <w:t>количине загађујућих материја које се испуштају у ваздух, воде, земљиште, количине отпада и нивоа буке; локација надзираног субјекта; врсте делатности или активности надзираног субјекта; услови и врсте коришћења извора нејонизујућег зрачења;  број представки заинтересоване јавности на рад надзираног субјекта; поступања надзираног субјекта према наложеним мерама као и нивои усклађености пословања са законом и другим прописима.</w:t>
      </w:r>
      <w:r>
        <w:t xml:space="preserve"> </w:t>
      </w:r>
    </w:p>
    <w:p w:rsidR="005F1498" w:rsidRDefault="005F1498">
      <w:pPr>
        <w:jc w:val="center"/>
      </w:pPr>
    </w:p>
    <w:p w:rsidR="005F1498" w:rsidRDefault="005F1498">
      <w:pPr>
        <w:autoSpaceDE w:val="0"/>
        <w:jc w:val="both"/>
        <w:rPr>
          <w:rFonts w:eastAsia="Times New Roman"/>
          <w:b/>
          <w:bCs/>
        </w:rPr>
      </w:pPr>
    </w:p>
    <w:p w:rsidR="005F1498" w:rsidRDefault="00F97B92" w:rsidP="003506C4">
      <w:pPr>
        <w:autoSpaceDE w:val="0"/>
        <w:ind w:firstLineChars="200" w:firstLine="482"/>
        <w:jc w:val="both"/>
        <w:rPr>
          <w:rFonts w:eastAsia="Times New Roman"/>
          <w:b/>
          <w:bCs/>
        </w:rPr>
      </w:pPr>
      <w:r>
        <w:rPr>
          <w:rFonts w:eastAsia="Times New Roman"/>
          <w:b/>
          <w:bCs/>
        </w:rPr>
        <w:lastRenderedPageBreak/>
        <w:t xml:space="preserve">ИНСПЕКТОР ЗА ЗАШТИТУ                 </w:t>
      </w:r>
      <w:r w:rsidR="004D056E">
        <w:rPr>
          <w:rFonts w:eastAsia="Times New Roman"/>
          <w:b/>
          <w:bCs/>
        </w:rPr>
        <w:t xml:space="preserve">  </w:t>
      </w:r>
      <w:r>
        <w:rPr>
          <w:rFonts w:eastAsia="Times New Roman"/>
          <w:b/>
          <w:bCs/>
        </w:rPr>
        <w:t>РУКОВОДИЛАЦ ОДЕЉЕЊА</w:t>
      </w:r>
    </w:p>
    <w:p w:rsidR="005F1498" w:rsidRDefault="00F97B92">
      <w:pPr>
        <w:autoSpaceDE w:val="0"/>
        <w:jc w:val="both"/>
        <w:rPr>
          <w:rFonts w:eastAsia="Times New Roman"/>
          <w:b/>
          <w:bCs/>
        </w:rPr>
      </w:pPr>
      <w:r>
        <w:rPr>
          <w:rFonts w:eastAsia="Times New Roman"/>
          <w:b/>
          <w:bCs/>
        </w:rPr>
        <w:t xml:space="preserve">       ЖИВОТНЕ СРЕДИНЕ</w:t>
      </w:r>
    </w:p>
    <w:p w:rsidR="005F1498" w:rsidRDefault="005F1498">
      <w:pPr>
        <w:autoSpaceDE w:val="0"/>
        <w:jc w:val="both"/>
        <w:rPr>
          <w:rFonts w:eastAsia="Times New Roman"/>
        </w:rPr>
      </w:pPr>
    </w:p>
    <w:p w:rsidR="005F1498" w:rsidRDefault="00F97B92">
      <w:pPr>
        <w:autoSpaceDE w:val="0"/>
        <w:jc w:val="both"/>
        <w:rPr>
          <w:rFonts w:eastAsia="Times New Roman"/>
        </w:rPr>
      </w:pPr>
      <w:r>
        <w:rPr>
          <w:rFonts w:eastAsia="Times New Roman"/>
        </w:rPr>
        <w:t xml:space="preserve">   Драган Радовановић, дипл.инж.зжс</w:t>
      </w:r>
      <w:r>
        <w:rPr>
          <w:rFonts w:eastAsia="Times New Roman"/>
        </w:rPr>
        <w:tab/>
        <w:t xml:space="preserve">           Горан Лепојевић, дипл.грађ.инж</w:t>
      </w:r>
      <w:r>
        <w:rPr>
          <w:rFonts w:eastAsia="Times New Roman"/>
        </w:rPr>
        <w:tab/>
      </w:r>
    </w:p>
    <w:p w:rsidR="00F97B92" w:rsidRDefault="00F97B92">
      <w:pPr>
        <w:autoSpaceDE w:val="0"/>
        <w:jc w:val="both"/>
        <w:rPr>
          <w:rFonts w:eastAsia="Times New Roman"/>
        </w:rPr>
      </w:pPr>
    </w:p>
    <w:sectPr w:rsidR="00F97B92" w:rsidSect="005F1498">
      <w:footnotePr>
        <w:pos w:val="beneathText"/>
      </w:footnotePr>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tarSymbol">
    <w:altName w:val="Microsoft YaHei"/>
    <w:charset w:val="02"/>
    <w:family w:val="auto"/>
    <w:pitch w:val="default"/>
    <w:sig w:usb0="00000000" w:usb1="00000000" w:usb2="00000000"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E61A4"/>
    <w:multiLevelType w:val="singleLevel"/>
    <w:tmpl w:val="B93E61A4"/>
    <w:lvl w:ilvl="0">
      <w:start w:val="1"/>
      <w:numFmt w:val="decimal"/>
      <w:suff w:val="space"/>
      <w:lvlText w:val="%1."/>
      <w:lvlJc w:val="left"/>
    </w:lvl>
  </w:abstractNum>
  <w:abstractNum w:abstractNumId="1">
    <w:nsid w:val="11CC9A32"/>
    <w:multiLevelType w:val="singleLevel"/>
    <w:tmpl w:val="11CC9A32"/>
    <w:lvl w:ilvl="0">
      <w:start w:val="4"/>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0"/>
  <w:defaultTabStop w:val="1134"/>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useFELayout/>
  </w:compat>
  <w:rsids>
    <w:rsidRoot w:val="00172A27"/>
    <w:rsid w:val="0011609E"/>
    <w:rsid w:val="00172A27"/>
    <w:rsid w:val="003506C4"/>
    <w:rsid w:val="00435DF7"/>
    <w:rsid w:val="004D056E"/>
    <w:rsid w:val="004D59EE"/>
    <w:rsid w:val="005F1498"/>
    <w:rsid w:val="007738DA"/>
    <w:rsid w:val="008473DC"/>
    <w:rsid w:val="00A14A3A"/>
    <w:rsid w:val="00AE5EB8"/>
    <w:rsid w:val="00CB7F9A"/>
    <w:rsid w:val="00E65698"/>
    <w:rsid w:val="00F97B92"/>
    <w:rsid w:val="015442E9"/>
    <w:rsid w:val="02B910ED"/>
    <w:rsid w:val="0EFE1F06"/>
    <w:rsid w:val="12A845FB"/>
    <w:rsid w:val="21861E90"/>
    <w:rsid w:val="22077B26"/>
    <w:rsid w:val="220B3E11"/>
    <w:rsid w:val="299274AB"/>
    <w:rsid w:val="2A0502AC"/>
    <w:rsid w:val="2B9F0639"/>
    <w:rsid w:val="2D422B23"/>
    <w:rsid w:val="2E004F29"/>
    <w:rsid w:val="33E15E4F"/>
    <w:rsid w:val="3B0D6142"/>
    <w:rsid w:val="3C2918A2"/>
    <w:rsid w:val="42AC14E6"/>
    <w:rsid w:val="44D2786E"/>
    <w:rsid w:val="49C65562"/>
    <w:rsid w:val="4FFE00FC"/>
    <w:rsid w:val="51674897"/>
    <w:rsid w:val="519B2261"/>
    <w:rsid w:val="52AB4B65"/>
    <w:rsid w:val="55D025F0"/>
    <w:rsid w:val="57245F7A"/>
    <w:rsid w:val="59574B7A"/>
    <w:rsid w:val="6EAC2848"/>
    <w:rsid w:val="7BE20CF4"/>
    <w:rsid w:val="7CE40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7"/>
    <w:lsdException w:name="Title" w:qFormat="1"/>
    <w:lsdException w:name="Default Paragraph Font" w:uiPriority="7"/>
    <w:lsdException w:name="Body Text" w:uiPriority="7"/>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rsid w:val="005F1498"/>
    <w:pPr>
      <w:widowControl w:val="0"/>
      <w:suppressAutoHyphens/>
    </w:pPr>
    <w:rPr>
      <w:rFonts w:eastAsia="Lucida Sans Unico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3"/>
    <w:rsid w:val="005F1498"/>
    <w:rPr>
      <w:rFonts w:ascii="Symbol" w:hAnsi="Symbol" w:cs="StarSymbol"/>
      <w:sz w:val="18"/>
      <w:szCs w:val="18"/>
    </w:rPr>
  </w:style>
  <w:style w:type="character" w:customStyle="1" w:styleId="WW-Absatz-Standardschriftart">
    <w:name w:val="WW-Absatz-Standardschriftart"/>
    <w:uiPriority w:val="2"/>
    <w:rsid w:val="005F1498"/>
  </w:style>
  <w:style w:type="character" w:customStyle="1" w:styleId="Absatz-Standardschriftart">
    <w:name w:val="Absatz-Standardschriftart"/>
    <w:uiPriority w:val="7"/>
    <w:rsid w:val="005F1498"/>
  </w:style>
  <w:style w:type="character" w:customStyle="1" w:styleId="WW-Absatz-Standardschriftart1">
    <w:name w:val="WW-Absatz-Standardschriftart1"/>
    <w:uiPriority w:val="2"/>
    <w:rsid w:val="005F1498"/>
  </w:style>
  <w:style w:type="character" w:customStyle="1" w:styleId="Bullets">
    <w:name w:val="Bullets"/>
    <w:uiPriority w:val="6"/>
    <w:rsid w:val="005F1498"/>
    <w:rPr>
      <w:rFonts w:ascii="StarSymbol" w:eastAsia="StarSymbol" w:hAnsi="StarSymbol" w:cs="StarSymbol"/>
      <w:sz w:val="18"/>
      <w:szCs w:val="18"/>
    </w:rPr>
  </w:style>
  <w:style w:type="character" w:customStyle="1" w:styleId="NumberingSymbols">
    <w:name w:val="Numbering Symbols"/>
    <w:uiPriority w:val="6"/>
    <w:rsid w:val="005F1498"/>
  </w:style>
  <w:style w:type="paragraph" w:customStyle="1" w:styleId="Index">
    <w:name w:val="Index"/>
    <w:basedOn w:val="Normal"/>
    <w:uiPriority w:val="6"/>
    <w:rsid w:val="005F1498"/>
    <w:pPr>
      <w:suppressLineNumbers/>
    </w:pPr>
    <w:rPr>
      <w:rFonts w:cs="Tahoma"/>
    </w:rPr>
  </w:style>
  <w:style w:type="paragraph" w:customStyle="1" w:styleId="Heading">
    <w:name w:val="Heading"/>
    <w:basedOn w:val="Normal"/>
    <w:next w:val="BodyText"/>
    <w:uiPriority w:val="6"/>
    <w:rsid w:val="005F1498"/>
    <w:pPr>
      <w:keepNext/>
      <w:spacing w:before="240" w:after="120"/>
    </w:pPr>
    <w:rPr>
      <w:rFonts w:ascii="Arial" w:hAnsi="Arial" w:cs="Tahoma"/>
      <w:sz w:val="28"/>
      <w:szCs w:val="28"/>
    </w:rPr>
  </w:style>
  <w:style w:type="paragraph" w:customStyle="1" w:styleId="TableHeading">
    <w:name w:val="Table Heading"/>
    <w:basedOn w:val="TableContents"/>
    <w:uiPriority w:val="6"/>
    <w:rsid w:val="005F1498"/>
    <w:pPr>
      <w:jc w:val="center"/>
    </w:pPr>
    <w:rPr>
      <w:b/>
      <w:bCs/>
      <w:i/>
      <w:iCs/>
    </w:rPr>
  </w:style>
  <w:style w:type="paragraph" w:customStyle="1" w:styleId="TableContents">
    <w:name w:val="Table Contents"/>
    <w:basedOn w:val="Normal"/>
    <w:uiPriority w:val="6"/>
    <w:rsid w:val="005F1498"/>
    <w:pPr>
      <w:suppressLineNumbers/>
    </w:pPr>
  </w:style>
  <w:style w:type="paragraph" w:styleId="List">
    <w:name w:val="List"/>
    <w:basedOn w:val="BodyText"/>
    <w:uiPriority w:val="7"/>
    <w:rsid w:val="005F1498"/>
    <w:rPr>
      <w:rFonts w:cs="Tahoma"/>
    </w:rPr>
  </w:style>
  <w:style w:type="paragraph" w:styleId="NormalWeb">
    <w:name w:val="Normal (Web)"/>
    <w:basedOn w:val="Normal"/>
    <w:rsid w:val="005F1498"/>
  </w:style>
  <w:style w:type="paragraph" w:customStyle="1" w:styleId="Caption1">
    <w:name w:val="Caption1"/>
    <w:basedOn w:val="Normal"/>
    <w:uiPriority w:val="7"/>
    <w:rsid w:val="005F1498"/>
    <w:pPr>
      <w:suppressLineNumbers/>
      <w:spacing w:before="120" w:after="120"/>
    </w:pPr>
    <w:rPr>
      <w:rFonts w:cs="Tahoma"/>
      <w:i/>
      <w:iCs/>
    </w:rPr>
  </w:style>
  <w:style w:type="paragraph" w:styleId="BodyText">
    <w:name w:val="Body Text"/>
    <w:basedOn w:val="Normal"/>
    <w:uiPriority w:val="7"/>
    <w:rsid w:val="005F1498"/>
    <w:pPr>
      <w:spacing w:after="120"/>
    </w:pPr>
  </w:style>
  <w:style w:type="table" w:styleId="TableGrid">
    <w:name w:val="Table Grid"/>
    <w:basedOn w:val="TableNormal"/>
    <w:rsid w:val="005F14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Radovanovic</dc:creator>
  <cp:lastModifiedBy>Korisnik</cp:lastModifiedBy>
  <cp:revision>8</cp:revision>
  <cp:lastPrinted>2019-12-24T12:40:00Z</cp:lastPrinted>
  <dcterms:created xsi:type="dcterms:W3CDTF">2024-11-12T08:00:00Z</dcterms:created>
  <dcterms:modified xsi:type="dcterms:W3CDTF">2024-11-13T12:59:00Z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